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Georgia" w:cs="Georgia" w:eastAsia="Georgia" w:hAnsi="Georgia"/>
          <w:b/>
          <w:bCs/>
          <w:color w:val="82431F"/>
          <w:spacing w:val="30"/>
          <w:sz w:val="22"/>
          <w:szCs w:val="22"/>
        </w:rPr>
        <w:t xml:space="preserve">GOLDEN HOUR WELLNESS COLORADO</w:t>
      </w:r>
    </w:p>
    <w:p>
      <w:pPr>
        <w:spacing w:after="0" w:before="240"/>
        <w:jc w:val="center"/>
      </w:pPr>
      <w:r>
        <w:rPr>
          <w:rFonts w:ascii="Georgia" w:cs="Georgia" w:eastAsia="Georgia" w:hAnsi="Georgia"/>
          <w:b/>
          <w:bCs/>
          <w:color w:val="2E2034"/>
          <w:sz w:val="56"/>
          <w:szCs w:val="56"/>
        </w:rPr>
        <w:t xml:space="preserve">Website Handoff Guide</w:t>
      </w:r>
    </w:p>
    <w:p>
      <w:pPr>
        <w:spacing w:after="0" w:before="200"/>
        <w:jc w:val="center"/>
      </w:pPr>
      <w:r>
        <w:rPr>
          <w:rFonts w:ascii="Calibri" w:cs="Calibri" w:eastAsia="Calibri" w:hAnsi="Calibri"/>
          <w:i/>
          <w:iCs/>
          <w:color w:val="5C5750"/>
          <w:sz w:val="24"/>
          <w:szCs w:val="24"/>
        </w:rPr>
        <w:t xml:space="preserve">Everything you need to run, edit and grow goldenhourwellnesscolorado.com</w:t>
      </w:r>
    </w:p>
    <w:p>
      <w:pPr>
        <w:spacing w:after="0" w:before="900"/>
        <w:jc w:val="center"/>
      </w:pPr>
      <w:r>
        <w:rPr>
          <w:rFonts w:ascii="Calibri" w:cs="Calibri" w:eastAsia="Calibri" w:hAnsi="Calibri"/>
          <w:color w:val="2A2622"/>
          <w:sz w:val="22"/>
          <w:szCs w:val="22"/>
        </w:rPr>
        <w:t xml:space="preserve">Prepared for Shayla Martinez-O’Brien</w:t>
      </w:r>
    </w:p>
    <w:p>
      <w:pPr>
        <w:spacing w:after="0" w:before="60"/>
        <w:jc w:val="center"/>
      </w:pPr>
      <w:r>
        <w:rPr>
          <w:rFonts w:ascii="Calibri" w:cs="Calibri" w:eastAsia="Calibri" w:hAnsi="Calibri"/>
          <w:color w:val="5C5750"/>
          <w:sz w:val="20"/>
          <w:szCs w:val="20"/>
        </w:rPr>
        <w:t xml:space="preserve">by Chad Moravec · September 2026</w:t>
      </w:r>
    </w:p>
    <w:p>
      <w:pPr>
        <w:pageBreakBefore/>
      </w:pPr>
      <w:r>
        <w:br/>
        <w:t xml:space="preserve"/>
      </w:r>
    </w:p>
    <w:p>
      <w:pPr>
        <w:pStyle w:val="Heading1"/>
        <w:pBdr>
          <w:bottom w:val="single" w:color="A85832" w:sz="6" w:space="6"/>
        </w:pBdr>
        <w:spacing w:after="140" w:before="320"/>
      </w:pPr>
      <w:r>
        <w:rPr>
          <w:rFonts w:ascii="Georgia" w:cs="Georgia" w:eastAsia="Georgia" w:hAnsi="Georgia"/>
          <w:b/>
          <w:bCs/>
          <w:color w:val="2E2034"/>
          <w:sz w:val="30"/>
          <w:szCs w:val="30"/>
        </w:rPr>
        <w:t xml:space="preserve">Welcome to your new website</w:t>
      </w:r>
    </w:p>
    <w:p>
      <w:pPr>
        <w:spacing w:after="160" w:line="300"/>
      </w:pPr>
      <w:r>
        <w:rPr>
          <w:rFonts w:ascii="Calibri" w:cs="Calibri" w:eastAsia="Calibri" w:hAnsi="Calibri"/>
          <w:b w:val="false"/>
          <w:bCs w:val="false"/>
          <w:i w:val="false"/>
          <w:iCs w:val="false"/>
          <w:color w:val="2A2622"/>
          <w:sz w:val="21"/>
          <w:szCs w:val="21"/>
        </w:rPr>
        <w:t xml:space="preserve">Golden Hour Wellness Colorado is now live on its own professional platform — fully independent of Squarespace. This guide is your reference for everything about how the site works, how to update it yourself, who to call when something needs a developer, and how to make the most of it for getting found by new clients.</w:t>
      </w:r>
    </w:p>
    <w:p>
      <w:pPr>
        <w:spacing w:after="160" w:line="300"/>
      </w:pPr>
      <w:r>
        <w:rPr>
          <w:rFonts w:ascii="Calibri" w:cs="Calibri" w:eastAsia="Calibri" w:hAnsi="Calibri"/>
          <w:b w:val="false"/>
          <w:bCs w:val="false"/>
          <w:i w:val="false"/>
          <w:iCs w:val="false"/>
          <w:color w:val="2A2622"/>
          <w:sz w:val="21"/>
          <w:szCs w:val="21"/>
        </w:rPr>
        <w:t xml:space="preserve">You don’t need to read this cover to cover. Skim it once, then come back to the relevant section when you need it.</w:t>
      </w:r>
    </w:p>
    <w:tbl>
      <w:tblPr>
        <w:tblW w:type="pct" w:w="100%"/>
        <w:tblBorders>
          <w:top w:val="single" w:color="A85832" w:sz="4"/>
          <w:left w:val="single" w:color="A85832" w:sz="4"/>
          <w:bottom w:val="single" w:color="A85832" w:sz="4"/>
          <w:right w:val="single" w:color="A85832" w:sz="4"/>
          <w:insideH w:val="none" w:color="FFFFFF" w:sz="0"/>
          <w:insideV w:val="none" w:color="FFFFFF" w:sz="0"/>
        </w:tblBorders>
      </w:tblPr>
      <w:tblGrid>
        <w:gridCol w:w="100"/>
      </w:tblGrid>
      <w:tr>
        <w:tc>
          <w:tcPr>
            <w:shd w:fill="F4EBE1" w:val="clear"/>
            <w:tcMar>
              <w:top w:type="dxa" w:w="160"/>
              <w:left w:type="dxa" w:w="220"/>
              <w:bottom w:type="dxa" w:w="160"/>
              <w:right w:type="dxa" w:w="220"/>
            </w:tcMar>
          </w:tcPr>
          <w:p>
            <w:pPr>
              <w:spacing w:after="60"/>
            </w:pPr>
            <w:r>
              <w:rPr>
                <w:rFonts w:ascii="Calibri" w:cs="Calibri" w:eastAsia="Calibri" w:hAnsi="Calibri"/>
                <w:b/>
                <w:bCs/>
                <w:color w:val="82431F"/>
                <w:sz w:val="21"/>
                <w:szCs w:val="21"/>
              </w:rPr>
              <w:t xml:space="preserve">Your website at a glance</w:t>
            </w:r>
          </w:p>
          <w:p>
            <w:pPr>
              <w:spacing w:after="0"/>
            </w:pPr>
            <w:r>
              <w:rPr>
                <w:rFonts w:ascii="Calibri" w:cs="Calibri" w:eastAsia="Calibri" w:hAnsi="Calibri"/>
                <w:color w:val="2A2622"/>
                <w:sz w:val="21"/>
                <w:szCs w:val="21"/>
              </w:rPr>
              <w:t xml:space="preserve">Live at www.goldenhourwellnesscolorado.com · hosted on Cloudflare Pages · content edited at /admin · built and maintained by Chad Moravec.</w:t>
            </w:r>
          </w:p>
        </w:tc>
      </w:tr>
    </w:tbl>
    <w:p>
      <w:pPr>
        <w:spacing w:after="200"/>
      </w:pPr>
    </w:p>
    <w:p>
      <w:pPr>
        <w:pStyle w:val="Heading1"/>
        <w:pBdr>
          <w:bottom w:val="single" w:color="A85832" w:sz="6" w:space="6"/>
        </w:pBdr>
        <w:spacing w:after="140" w:before="320"/>
      </w:pPr>
      <w:r>
        <w:rPr>
          <w:rFonts w:ascii="Georgia" w:cs="Georgia" w:eastAsia="Georgia" w:hAnsi="Georgia"/>
          <w:b/>
          <w:bCs/>
          <w:color w:val="2E2034"/>
          <w:sz w:val="30"/>
          <w:szCs w:val="30"/>
        </w:rPr>
        <w:t xml:space="preserve">How everything fits together</w:t>
      </w:r>
    </w:p>
    <w:p>
      <w:pPr>
        <w:spacing w:after="160" w:line="300"/>
      </w:pPr>
      <w:r>
        <w:rPr>
          <w:rFonts w:ascii="Calibri" w:cs="Calibri" w:eastAsia="Calibri" w:hAnsi="Calibri"/>
          <w:b w:val="false"/>
          <w:bCs w:val="false"/>
          <w:i w:val="false"/>
          <w:iCs w:val="false"/>
          <w:color w:val="2A2622"/>
          <w:sz w:val="21"/>
          <w:szCs w:val="21"/>
        </w:rPr>
        <w:t xml:space="preserve">Five services work together to run your site and practice. None of them require you to know code — the two you’ll actually touch day to day are TinaCMS (to edit words on the site) and Acuity/Thrizer (already familiar from before).</w:t>
      </w:r>
    </w:p>
    <w:tbl>
      <w:tblPr>
        <w:tblW w:type="dxa" w:w="9800"/>
        <w:tblBorders>
          <w:top w:val="single" w:color="DDD3C6" w:sz="2"/>
          <w:left w:val="single" w:color="DDD3C6" w:sz="2"/>
          <w:bottom w:val="single" w:color="DDD3C6" w:sz="2"/>
          <w:right w:val="single" w:color="DDD3C6" w:sz="2"/>
          <w:insideH w:val="single" w:color="DDD3C6" w:sz="2"/>
          <w:insideV w:val="single" w:color="DDD3C6" w:sz="2"/>
        </w:tblBorders>
      </w:tblPr>
      <w:tblGrid>
        <w:gridCol w:w="2000"/>
        <w:gridCol w:w="4600"/>
        <w:gridCol w:w="3200"/>
      </w:tblGrid>
      <w:tr>
        <w:trPr>
          <w:tblHeader/>
        </w:trPr>
        <w:tc>
          <w:tcPr>
            <w:tcW w:type="dxa" w:w="2000"/>
            <w:shd w:fill="2E2034" w:val="clear"/>
            <w:tcMar>
              <w:top w:type="dxa" w:w="100"/>
              <w:left w:type="dxa" w:w="140"/>
              <w:bottom w:type="dxa" w:w="100"/>
              <w:right w:type="dxa" w:w="140"/>
            </w:tcMar>
          </w:tcPr>
          <w:p>
            <w:r>
              <w:rPr>
                <w:rFonts w:ascii="Calibri" w:cs="Calibri" w:eastAsia="Calibri" w:hAnsi="Calibri"/>
                <w:b/>
                <w:bCs/>
                <w:color w:val="FFFFFF"/>
                <w:sz w:val="19"/>
                <w:szCs w:val="19"/>
              </w:rPr>
              <w:t xml:space="preserve">Service</w:t>
            </w:r>
          </w:p>
        </w:tc>
        <w:tc>
          <w:tcPr>
            <w:tcW w:type="dxa" w:w="4600"/>
            <w:shd w:fill="2E2034" w:val="clear"/>
            <w:tcMar>
              <w:top w:type="dxa" w:w="100"/>
              <w:left w:type="dxa" w:w="140"/>
              <w:bottom w:type="dxa" w:w="100"/>
              <w:right w:type="dxa" w:w="140"/>
            </w:tcMar>
          </w:tcPr>
          <w:p>
            <w:r>
              <w:rPr>
                <w:rFonts w:ascii="Calibri" w:cs="Calibri" w:eastAsia="Calibri" w:hAnsi="Calibri"/>
                <w:b/>
                <w:bCs/>
                <w:color w:val="FFFFFF"/>
                <w:sz w:val="19"/>
                <w:szCs w:val="19"/>
              </w:rPr>
              <w:t xml:space="preserve">What it does</w:t>
            </w:r>
          </w:p>
        </w:tc>
        <w:tc>
          <w:tcPr>
            <w:tcW w:type="dxa" w:w="3200"/>
            <w:shd w:fill="2E2034" w:val="clear"/>
            <w:tcMar>
              <w:top w:type="dxa" w:w="100"/>
              <w:left w:type="dxa" w:w="140"/>
              <w:bottom w:type="dxa" w:w="100"/>
              <w:right w:type="dxa" w:w="140"/>
            </w:tcMar>
          </w:tcPr>
          <w:p>
            <w:r>
              <w:rPr>
                <w:rFonts w:ascii="Calibri" w:cs="Calibri" w:eastAsia="Calibri" w:hAnsi="Calibri"/>
                <w:b/>
                <w:bCs/>
                <w:color w:val="FFFFFF"/>
                <w:sz w:val="19"/>
                <w:szCs w:val="19"/>
              </w:rPr>
              <w:t xml:space="preserve">You need it for</w:t>
            </w:r>
          </w:p>
        </w:tc>
      </w:tr>
      <w:tr>
        <w:trPr>
          <w:tblHeader w:val="false"/>
        </w:trPr>
        <w:tc>
          <w:tcPr>
            <w:tcW w:type="dxa" w:w="20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GitHub</w:t>
            </w:r>
          </w:p>
        </w:tc>
        <w:tc>
          <w:tcPr>
            <w:tcW w:type="dxa" w:w="46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Stores every version of your website’s code, like a very thorough backup with full history.</w:t>
            </w:r>
          </w:p>
        </w:tc>
        <w:tc>
          <w:tcPr>
            <w:tcW w:type="dxa" w:w="32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Nothing directly — Chad manages this.</w:t>
            </w:r>
          </w:p>
        </w:tc>
      </w:tr>
      <w:tr>
        <w:trPr>
          <w:tblHeader w:val="false"/>
        </w:trPr>
        <w:tc>
          <w:tcPr>
            <w:tcW w:type="dxa" w:w="20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Cloudflare Pages</w:t>
            </w:r>
          </w:p>
        </w:tc>
        <w:tc>
          <w:tcPr>
            <w:tcW w:type="dxa" w:w="46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Hosts the live site. Automatically republishes within about a minute of any change.</w:t>
            </w:r>
          </w:p>
        </w:tc>
        <w:tc>
          <w:tcPr>
            <w:tcW w:type="dxa" w:w="32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Nothing directly, but this is where the domain and SSL certificate live.</w:t>
            </w:r>
          </w:p>
        </w:tc>
      </w:tr>
      <w:tr>
        <w:trPr>
          <w:tblHeader w:val="false"/>
        </w:trPr>
        <w:tc>
          <w:tcPr>
            <w:tcW w:type="dxa" w:w="20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TinaCMS (/admin)</w:t>
            </w:r>
          </w:p>
        </w:tc>
        <w:tc>
          <w:tcPr>
            <w:tcW w:type="dxa" w:w="46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The editor you use to change text on the site — no code involved.</w:t>
            </w:r>
          </w:p>
        </w:tc>
        <w:tc>
          <w:tcPr>
            <w:tcW w:type="dxa" w:w="32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Updating the homepage, FAQ, group cohort details, and writing Journal (blog) posts.</w:t>
            </w:r>
          </w:p>
        </w:tc>
      </w:tr>
      <w:tr>
        <w:trPr>
          <w:tblHeader w:val="false"/>
        </w:trPr>
        <w:tc>
          <w:tcPr>
            <w:tcW w:type="dxa" w:w="20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EmailJS</w:t>
            </w:r>
          </w:p>
        </w:tc>
        <w:tc>
          <w:tcPr>
            <w:tcW w:type="dxa" w:w="46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Delivers the contact form on your Contact page straight to your inbox.</w:t>
            </w:r>
          </w:p>
        </w:tc>
        <w:tc>
          <w:tcPr>
            <w:tcW w:type="dxa" w:w="32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Nothing directly — it runs silently in the background.</w:t>
            </w:r>
          </w:p>
        </w:tc>
      </w:tr>
      <w:tr>
        <w:trPr>
          <w:tblHeader w:val="false"/>
        </w:trPr>
        <w:tc>
          <w:tcPr>
            <w:tcW w:type="dxa" w:w="20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Domain (Squarespace)</w:t>
            </w:r>
          </w:p>
        </w:tc>
        <w:tc>
          <w:tcPr>
            <w:tcW w:type="dxa" w:w="46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Where goldenhourwellnesscolorado.com is registered and renews each year.</w:t>
            </w:r>
          </w:p>
        </w:tc>
        <w:tc>
          <w:tcPr>
            <w:tcW w:type="dxa" w:w="32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Renewing the domain annually (auto-renew is on).</w:t>
            </w:r>
          </w:p>
        </w:tc>
      </w:tr>
    </w:tbl>
    <w:p>
      <w:pPr>
        <w:spacing w:after="160"/>
      </w:pPr>
    </w:p>
    <w:p>
      <w:pPr>
        <w:spacing w:after="160" w:line="300"/>
      </w:pPr>
      <w:r>
        <w:rPr>
          <w:rFonts w:ascii="Calibri" w:cs="Calibri" w:eastAsia="Calibri" w:hAnsi="Calibri"/>
          <w:b w:val="false"/>
          <w:bCs w:val="false"/>
          <w:i w:val="false"/>
          <w:iCs w:val="false"/>
          <w:color w:val="2A2622"/>
          <w:sz w:val="21"/>
          <w:szCs w:val="21"/>
        </w:rPr>
        <w:t xml:space="preserve">Acuity Scheduling and Thrizer (your benefits-check tool) are unchanged — both were already independent of Squarespace, so nothing about how you use them is different.</w:t>
      </w:r>
    </w:p>
    <w:p>
      <w:pPr>
        <w:spacing w:after="160"/>
      </w:pPr>
    </w:p>
    <w:p>
      <w:pPr>
        <w:pStyle w:val="Heading1"/>
        <w:pBdr>
          <w:bottom w:val="single" w:color="A85832" w:sz="6" w:space="6"/>
        </w:pBdr>
        <w:spacing w:after="140" w:before="320"/>
      </w:pPr>
      <w:r>
        <w:rPr>
          <w:rFonts w:ascii="Georgia" w:cs="Georgia" w:eastAsia="Georgia" w:hAnsi="Georgia"/>
          <w:b/>
          <w:bCs/>
          <w:color w:val="2E2034"/>
          <w:sz w:val="30"/>
          <w:szCs w:val="30"/>
        </w:rPr>
        <w:t xml:space="preserve">Editing your site yourself</w:t>
      </w:r>
    </w:p>
    <w:p>
      <w:pPr>
        <w:spacing w:after="160" w:line="300"/>
      </w:pPr>
      <w:r>
        <w:rPr>
          <w:rFonts w:ascii="Calibri" w:cs="Calibri" w:eastAsia="Calibri" w:hAnsi="Calibri"/>
          <w:b w:val="false"/>
          <w:bCs w:val="false"/>
          <w:i w:val="false"/>
          <w:iCs w:val="false"/>
          <w:color w:val="2A2622"/>
          <w:sz w:val="21"/>
          <w:szCs w:val="21"/>
        </w:rPr>
        <w:t xml:space="preserve">Go to www.goldenhourwellnesscolorado.com/admin and sign in with the account Chad sets up for you (see the accounts table in Section 5). This opens TinaCMS, a plain editing screen — no code, no layout to break.</w:t>
      </w:r>
    </w:p>
    <w:p>
      <w:pPr>
        <w:pStyle w:val="Heading2"/>
        <w:spacing w:after="100" w:before="260"/>
      </w:pPr>
      <w:r>
        <w:rPr>
          <w:rFonts w:ascii="Georgia" w:cs="Georgia" w:eastAsia="Georgia" w:hAnsi="Georgia"/>
          <w:b/>
          <w:bCs/>
          <w:color w:val="82431F"/>
          <w:sz w:val="24"/>
          <w:szCs w:val="24"/>
        </w:rPr>
        <w:t xml:space="preserve">What you can change</w:t>
      </w:r>
    </w:p>
    <w:tbl>
      <w:tblPr>
        <w:tblW w:type="dxa" w:w="9800"/>
        <w:tblBorders>
          <w:top w:val="single" w:color="DDD3C6" w:sz="2"/>
          <w:left w:val="single" w:color="DDD3C6" w:sz="2"/>
          <w:bottom w:val="single" w:color="DDD3C6" w:sz="2"/>
          <w:right w:val="single" w:color="DDD3C6" w:sz="2"/>
          <w:insideH w:val="single" w:color="DDD3C6" w:sz="2"/>
          <w:insideV w:val="single" w:color="DDD3C6" w:sz="2"/>
        </w:tblBorders>
      </w:tblPr>
      <w:tblGrid>
        <w:gridCol w:w="2600"/>
        <w:gridCol w:w="7200"/>
      </w:tblGrid>
      <w:tr>
        <w:trPr>
          <w:tblHeader/>
        </w:trPr>
        <w:tc>
          <w:tcPr>
            <w:tcW w:type="dxa" w:w="2600"/>
            <w:shd w:fill="2E2034" w:val="clear"/>
            <w:tcMar>
              <w:top w:type="dxa" w:w="100"/>
              <w:left w:type="dxa" w:w="140"/>
              <w:bottom w:type="dxa" w:w="100"/>
              <w:right w:type="dxa" w:w="140"/>
            </w:tcMar>
          </w:tcPr>
          <w:p>
            <w:r>
              <w:rPr>
                <w:rFonts w:ascii="Calibri" w:cs="Calibri" w:eastAsia="Calibri" w:hAnsi="Calibri"/>
                <w:b/>
                <w:bCs/>
                <w:color w:val="FFFFFF"/>
                <w:sz w:val="19"/>
                <w:szCs w:val="19"/>
              </w:rPr>
              <w:t xml:space="preserve">Section</w:t>
            </w:r>
          </w:p>
        </w:tc>
        <w:tc>
          <w:tcPr>
            <w:tcW w:type="dxa" w:w="7200"/>
            <w:shd w:fill="2E2034" w:val="clear"/>
            <w:tcMar>
              <w:top w:type="dxa" w:w="100"/>
              <w:left w:type="dxa" w:w="140"/>
              <w:bottom w:type="dxa" w:w="100"/>
              <w:right w:type="dxa" w:w="140"/>
            </w:tcMar>
          </w:tcPr>
          <w:p>
            <w:r>
              <w:rPr>
                <w:rFonts w:ascii="Calibri" w:cs="Calibri" w:eastAsia="Calibri" w:hAnsi="Calibri"/>
                <w:b/>
                <w:bCs/>
                <w:color w:val="FFFFFF"/>
                <w:sz w:val="19"/>
                <w:szCs w:val="19"/>
              </w:rPr>
              <w:t xml:space="preserve">What you can edit</w:t>
            </w:r>
          </w:p>
        </w:tc>
      </w:tr>
      <w:tr>
        <w:trPr>
          <w:tblHeader w:val="false"/>
        </w:trPr>
        <w:tc>
          <w:tcPr>
            <w:tcW w:type="dxa" w:w="26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Homepage</w:t>
            </w:r>
          </w:p>
        </w:tc>
        <w:tc>
          <w:tcPr>
            <w:tcW w:type="dxa" w:w="72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The main headline, the intro paragraph, and the three trust points beneath it.</w:t>
            </w:r>
          </w:p>
        </w:tc>
      </w:tr>
      <w:tr>
        <w:trPr>
          <w:tblHeader w:val="false"/>
        </w:trPr>
        <w:tc>
          <w:tcPr>
            <w:tcW w:type="dxa" w:w="26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Mama’s Golden Hour</w:t>
            </w:r>
          </w:p>
        </w:tc>
        <w:tc>
          <w:tcPr>
            <w:tcW w:type="dxa" w:w="72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Cohort dates, time, price, capacity, and an Enrolling on/off switch that swaps in a "this cohort is full" notice automatically.</w:t>
            </w:r>
          </w:p>
        </w:tc>
      </w:tr>
      <w:tr>
        <w:trPr>
          <w:tblHeader w:val="false"/>
        </w:trPr>
        <w:tc>
          <w:tcPr>
            <w:tcW w:type="dxa" w:w="26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Practice details</w:t>
            </w:r>
          </w:p>
        </w:tc>
        <w:tc>
          <w:tcPr>
            <w:tcW w:type="dxa" w:w="72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Phone number, email, which insurers are listed, the footer blurb, and your Instagram / Psychology Today links.</w:t>
            </w:r>
          </w:p>
        </w:tc>
      </w:tr>
      <w:tr>
        <w:trPr>
          <w:tblHeader w:val="false"/>
        </w:trPr>
        <w:tc>
          <w:tcPr>
            <w:tcW w:type="dxa" w:w="26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FAQ</w:t>
            </w:r>
          </w:p>
        </w:tc>
        <w:tc>
          <w:tcPr>
            <w:tcW w:type="dxa" w:w="72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Add, remove, reorder, and edit any question and answer.</w:t>
            </w:r>
          </w:p>
        </w:tc>
      </w:tr>
      <w:tr>
        <w:trPr>
          <w:tblHeader w:val="false"/>
        </w:trPr>
        <w:tc>
          <w:tcPr>
            <w:tcW w:type="dxa" w:w="26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Journal (blog)</w:t>
            </w:r>
          </w:p>
        </w:tc>
        <w:tc>
          <w:tcPr>
            <w:tcW w:type="dxa" w:w="72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Write new posts, edit existing ones, and a real Published switch — flip a post to unpublished and the page stops existing on the site entirely, it isn’t just hidden.</w:t>
            </w:r>
          </w:p>
        </w:tc>
      </w:tr>
    </w:tbl>
    <w:p>
      <w:pPr>
        <w:spacing w:after="160"/>
      </w:pPr>
    </w:p>
    <w:p>
      <w:pPr>
        <w:spacing w:after="160" w:line="300"/>
      </w:pPr>
      <w:r>
        <w:rPr>
          <w:rFonts w:ascii="Calibri" w:cs="Calibri" w:eastAsia="Calibri" w:hAnsi="Calibri"/>
          <w:b w:val="false"/>
          <w:bCs w:val="false"/>
          <w:i w:val="false"/>
          <w:iCs w:val="false"/>
          <w:color w:val="2A2622"/>
          <w:sz w:val="21"/>
          <w:szCs w:val="21"/>
        </w:rPr>
        <w:t xml:space="preserve">Every edit you make through /admin is saved automatically to the site’s history and goes live within about a minute — you’ll see a small "publishing" indicator while it does. There’s no way to accidentally break the layout, fonts, or colors from inside the editor — that boundary was built in on purpose so you can edit freely.</w:t>
      </w:r>
    </w:p>
    <w:tbl>
      <w:tblPr>
        <w:tblW w:type="pct" w:w="100%"/>
        <w:tblBorders>
          <w:top w:val="single" w:color="A85832" w:sz="4"/>
          <w:left w:val="single" w:color="A85832" w:sz="4"/>
          <w:bottom w:val="single" w:color="A85832" w:sz="4"/>
          <w:right w:val="single" w:color="A85832" w:sz="4"/>
          <w:insideH w:val="none" w:color="FFFFFF" w:sz="0"/>
          <w:insideV w:val="none" w:color="FFFFFF" w:sz="0"/>
        </w:tblBorders>
      </w:tblPr>
      <w:tblGrid>
        <w:gridCol w:w="100"/>
      </w:tblGrid>
      <w:tr>
        <w:tc>
          <w:tcPr>
            <w:shd w:fill="F4EBE1" w:val="clear"/>
            <w:tcMar>
              <w:top w:type="dxa" w:w="160"/>
              <w:left w:type="dxa" w:w="220"/>
              <w:bottom w:type="dxa" w:w="160"/>
              <w:right w:type="dxa" w:w="220"/>
            </w:tcMar>
          </w:tcPr>
          <w:p>
            <w:pPr>
              <w:spacing w:after="60"/>
            </w:pPr>
            <w:r>
              <w:rPr>
                <w:rFonts w:ascii="Calibri" w:cs="Calibri" w:eastAsia="Calibri" w:hAnsi="Calibri"/>
                <w:b/>
                <w:bCs/>
                <w:color w:val="82431F"/>
                <w:sz w:val="21"/>
                <w:szCs w:val="21"/>
              </w:rPr>
              <w:t xml:space="preserve">What Tina can’t do</w:t>
            </w:r>
          </w:p>
          <w:p>
            <w:pPr>
              <w:spacing w:after="0"/>
            </w:pPr>
            <w:r>
              <w:rPr>
                <w:rFonts w:ascii="Calibri" w:cs="Calibri" w:eastAsia="Calibri" w:hAnsi="Calibri"/>
                <w:color w:val="2A2622"/>
                <w:sz w:val="21"/>
                <w:szCs w:val="21"/>
              </w:rPr>
              <w:t xml:space="preserve">It only edits the words listed above. Adding a whole new page, changing colors or layout, or anything structural is a request to Chad, not a /admin task.</w:t>
            </w:r>
          </w:p>
        </w:tc>
      </w:tr>
    </w:tbl>
    <w:p>
      <w:pPr>
        <w:spacing w:after="200"/>
      </w:pPr>
    </w:p>
    <w:p>
      <w:pPr>
        <w:pStyle w:val="Heading1"/>
        <w:pBdr>
          <w:bottom w:val="single" w:color="A85832" w:sz="6" w:space="6"/>
        </w:pBdr>
        <w:spacing w:after="140" w:before="320"/>
      </w:pPr>
      <w:r>
        <w:rPr>
          <w:rFonts w:ascii="Georgia" w:cs="Georgia" w:eastAsia="Georgia" w:hAnsi="Georgia"/>
          <w:b/>
          <w:bCs/>
          <w:color w:val="2E2034"/>
          <w:sz w:val="30"/>
          <w:szCs w:val="30"/>
        </w:rPr>
        <w:t xml:space="preserve">How your contact form works</w:t>
      </w:r>
    </w:p>
    <w:p>
      <w:pPr>
        <w:spacing w:after="160" w:line="300"/>
      </w:pPr>
      <w:r>
        <w:rPr>
          <w:rFonts w:ascii="Calibri" w:cs="Calibri" w:eastAsia="Calibri" w:hAnsi="Calibri"/>
          <w:b w:val="false"/>
          <w:bCs w:val="false"/>
          <w:i w:val="false"/>
          <w:iCs w:val="false"/>
          <w:color w:val="2A2622"/>
          <w:sz w:val="21"/>
          <w:szCs w:val="21"/>
        </w:rPr>
        <w:t xml:space="preserve">When someone submits the form on your Contact page, two emails go out automatically: a notification to you at goldenhourwellco@gmail.com with everything they entered, and a confirmation to them letting them know you’ll be in touch within one business day.</w:t>
      </w:r>
    </w:p>
    <w:p>
      <w:pPr>
        <w:pStyle w:val="Heading2"/>
        <w:spacing w:after="100" w:before="260"/>
      </w:pPr>
      <w:r>
        <w:rPr>
          <w:rFonts w:ascii="Georgia" w:cs="Georgia" w:eastAsia="Georgia" w:hAnsi="Georgia"/>
          <w:b/>
          <w:bCs/>
          <w:color w:val="82431F"/>
          <w:sz w:val="24"/>
          <w:szCs w:val="24"/>
        </w:rPr>
        <w:t xml:space="preserve">A deliberate limitation — please read</w:t>
      </w:r>
    </w:p>
    <w:p>
      <w:pPr>
        <w:spacing w:after="160" w:line="300"/>
      </w:pPr>
      <w:r>
        <w:rPr>
          <w:rFonts w:ascii="Calibri" w:cs="Calibri" w:eastAsia="Calibri" w:hAnsi="Calibri"/>
          <w:b w:val="false"/>
          <w:bCs w:val="false"/>
          <w:i w:val="false"/>
          <w:iCs w:val="false"/>
          <w:color w:val="2A2622"/>
          <w:sz w:val="21"/>
          <w:szCs w:val="21"/>
        </w:rPr>
        <w:t xml:space="preserve">The form is intentionally not a clinical intake form. It asks for contact details and a general reason for reaching out, but the message box is capped at 300 characters and visitors are told directly not to include health information. This is because the form sends through Gmail, and standard Gmail does not carry the HIPAA Business Associate Agreement (BAA) that’s required before any protected health information can pass through an email system.</w:t>
      </w:r>
    </w:p>
    <w:p>
      <w:pPr>
        <w:spacing w:after="160" w:line="300"/>
      </w:pPr>
      <w:r>
        <w:rPr>
          <w:rFonts w:ascii="Calibri" w:cs="Calibri" w:eastAsia="Calibri" w:hAnsi="Calibri"/>
          <w:b w:val="false"/>
          <w:bCs w:val="false"/>
          <w:i w:val="false"/>
          <w:iCs w:val="false"/>
          <w:color w:val="2A2622"/>
          <w:sz w:val="21"/>
          <w:szCs w:val="21"/>
        </w:rPr>
        <w:t xml:space="preserve">In plain terms: it’s built to be safe by design, but if you want to eventually accept real clinical intake through the website, that requires either upgrading to Google Workspace with a signed BAA (roughly $6/user/month) or a dedicated HIPAA-compliant intake form provider. Worth deciding on your own timeline — not urgent, just worth knowing.</w:t>
      </w:r>
    </w:p>
    <w:p>
      <w:pPr>
        <w:spacing w:after="200"/>
      </w:pPr>
    </w:p>
    <w:p>
      <w:pPr>
        <w:pStyle w:val="Heading1"/>
        <w:pBdr>
          <w:bottom w:val="single" w:color="A85832" w:sz="6" w:space="6"/>
        </w:pBdr>
        <w:spacing w:after="140" w:before="320"/>
      </w:pPr>
      <w:r>
        <w:rPr>
          <w:rFonts w:ascii="Georgia" w:cs="Georgia" w:eastAsia="Georgia" w:hAnsi="Georgia"/>
          <w:b/>
          <w:bCs/>
          <w:color w:val="2E2034"/>
          <w:sz w:val="30"/>
          <w:szCs w:val="30"/>
        </w:rPr>
        <w:t xml:space="preserve">Accounts and access</w:t>
      </w:r>
    </w:p>
    <w:p>
      <w:pPr>
        <w:spacing w:after="160" w:line="300"/>
      </w:pPr>
      <w:r>
        <w:rPr>
          <w:rFonts w:ascii="Calibri" w:cs="Calibri" w:eastAsia="Calibri" w:hAnsi="Calibri"/>
          <w:b w:val="false"/>
          <w:bCs w:val="false"/>
          <w:i w:val="false"/>
          <w:iCs w:val="false"/>
          <w:color w:val="2A2622"/>
          <w:sz w:val="21"/>
          <w:szCs w:val="21"/>
        </w:rPr>
        <w:t xml:space="preserve">Here is every account involved in running the site, in plain language. Chad holds developer access to all of these as your web contact; ask him for login details on anything you need to access directly.</w:t>
      </w:r>
    </w:p>
    <w:tbl>
      <w:tblPr>
        <w:tblW w:type="dxa" w:w="9800"/>
        <w:tblBorders>
          <w:top w:val="single" w:color="DDD3C6" w:sz="2"/>
          <w:left w:val="single" w:color="DDD3C6" w:sz="2"/>
          <w:bottom w:val="single" w:color="DDD3C6" w:sz="2"/>
          <w:right w:val="single" w:color="DDD3C6" w:sz="2"/>
          <w:insideH w:val="single" w:color="DDD3C6" w:sz="2"/>
          <w:insideV w:val="single" w:color="DDD3C6" w:sz="2"/>
        </w:tblBorders>
      </w:tblPr>
      <w:tblGrid>
        <w:gridCol w:w="2200"/>
        <w:gridCol w:w="3800"/>
        <w:gridCol w:w="3800"/>
      </w:tblGrid>
      <w:tr>
        <w:trPr>
          <w:tblHeader/>
        </w:trPr>
        <w:tc>
          <w:tcPr>
            <w:tcW w:type="dxa" w:w="2200"/>
            <w:shd w:fill="2E2034" w:val="clear"/>
            <w:tcMar>
              <w:top w:type="dxa" w:w="100"/>
              <w:left w:type="dxa" w:w="140"/>
              <w:bottom w:type="dxa" w:w="100"/>
              <w:right w:type="dxa" w:w="140"/>
            </w:tcMar>
          </w:tcPr>
          <w:p>
            <w:r>
              <w:rPr>
                <w:rFonts w:ascii="Calibri" w:cs="Calibri" w:eastAsia="Calibri" w:hAnsi="Calibri"/>
                <w:b/>
                <w:bCs/>
                <w:color w:val="FFFFFF"/>
                <w:sz w:val="19"/>
                <w:szCs w:val="19"/>
              </w:rPr>
              <w:t xml:space="preserve">Account</w:t>
            </w:r>
          </w:p>
        </w:tc>
        <w:tc>
          <w:tcPr>
            <w:tcW w:type="dxa" w:w="3800"/>
            <w:shd w:fill="2E2034" w:val="clear"/>
            <w:tcMar>
              <w:top w:type="dxa" w:w="100"/>
              <w:left w:type="dxa" w:w="140"/>
              <w:bottom w:type="dxa" w:w="100"/>
              <w:right w:type="dxa" w:w="140"/>
            </w:tcMar>
          </w:tcPr>
          <w:p>
            <w:r>
              <w:rPr>
                <w:rFonts w:ascii="Calibri" w:cs="Calibri" w:eastAsia="Calibri" w:hAnsi="Calibri"/>
                <w:b/>
                <w:bCs/>
                <w:color w:val="FFFFFF"/>
                <w:sz w:val="19"/>
                <w:szCs w:val="19"/>
              </w:rPr>
              <w:t xml:space="preserve">Login</w:t>
            </w:r>
          </w:p>
        </w:tc>
        <w:tc>
          <w:tcPr>
            <w:tcW w:type="dxa" w:w="3800"/>
            <w:shd w:fill="2E2034" w:val="clear"/>
            <w:tcMar>
              <w:top w:type="dxa" w:w="100"/>
              <w:left w:type="dxa" w:w="140"/>
              <w:bottom w:type="dxa" w:w="100"/>
              <w:right w:type="dxa" w:w="140"/>
            </w:tcMar>
          </w:tcPr>
          <w:p>
            <w:r>
              <w:rPr>
                <w:rFonts w:ascii="Calibri" w:cs="Calibri" w:eastAsia="Calibri" w:hAnsi="Calibri"/>
                <w:b/>
                <w:bCs/>
                <w:color w:val="FFFFFF"/>
                <w:sz w:val="19"/>
                <w:szCs w:val="19"/>
              </w:rPr>
              <w:t xml:space="preserve">What it’s for</w:t>
            </w:r>
          </w:p>
        </w:tc>
      </w:tr>
      <w:tr>
        <w:trPr>
          <w:tblHeader w:val="false"/>
        </w:trPr>
        <w:tc>
          <w:tcPr>
            <w:tcW w:type="dxa" w:w="22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Domain registration</w:t>
            </w:r>
          </w:p>
        </w:tc>
        <w:tc>
          <w:tcPr>
            <w:tcW w:type="dxa" w:w="38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Squarespace account (account.squarespace.com)</w:t>
            </w:r>
          </w:p>
        </w:tc>
        <w:tc>
          <w:tcPr>
            <w:tcW w:type="dxa" w:w="38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Owns goldenhourwellnesscolorado.com. Registrant on file: Shayla Martinez-O’Brien. Renews April 2027, auto-renew on.</w:t>
            </w:r>
          </w:p>
        </w:tc>
      </w:tr>
      <w:tr>
        <w:trPr>
          <w:tblHeader w:val="false"/>
        </w:trPr>
        <w:tc>
          <w:tcPr>
            <w:tcW w:type="dxa" w:w="22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Website email</w:t>
            </w:r>
          </w:p>
        </w:tc>
        <w:tc>
          <w:tcPr>
            <w:tcW w:type="dxa" w:w="38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goldenhourwellco@gmail.com (Google Workspace)</w:t>
            </w:r>
          </w:p>
        </w:tc>
        <w:tc>
          <w:tcPr>
            <w:tcW w:type="dxa" w:w="38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Your practice inbox — unaffected by the website move.</w:t>
            </w:r>
          </w:p>
        </w:tc>
      </w:tr>
      <w:tr>
        <w:trPr>
          <w:tblHeader w:val="false"/>
        </w:trPr>
        <w:tc>
          <w:tcPr>
            <w:tcW w:type="dxa" w:w="22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GitHub</w:t>
            </w:r>
          </w:p>
        </w:tc>
        <w:tc>
          <w:tcPr>
            <w:tcW w:type="dxa" w:w="38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github.com/ghwco/ghwco</w:t>
            </w:r>
          </w:p>
        </w:tc>
        <w:tc>
          <w:tcPr>
            <w:tcW w:type="dxa" w:w="38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Source code and full edit history of the site.</w:t>
            </w:r>
          </w:p>
        </w:tc>
      </w:tr>
      <w:tr>
        <w:trPr>
          <w:tblHeader w:val="false"/>
        </w:trPr>
        <w:tc>
          <w:tcPr>
            <w:tcW w:type="dxa" w:w="22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Cloudflare</w:t>
            </w:r>
          </w:p>
        </w:tc>
        <w:tc>
          <w:tcPr>
            <w:tcW w:type="dxa" w:w="38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Cloudflare account (ask Chad)</w:t>
            </w:r>
          </w:p>
        </w:tc>
        <w:tc>
          <w:tcPr>
            <w:tcW w:type="dxa" w:w="38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Hosts the live site and manages the domain’s DNS and SSL certificate.</w:t>
            </w:r>
          </w:p>
        </w:tc>
      </w:tr>
      <w:tr>
        <w:trPr>
          <w:tblHeader w:val="false"/>
        </w:trPr>
        <w:tc>
          <w:tcPr>
            <w:tcW w:type="dxa" w:w="22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TinaCMS</w:t>
            </w:r>
          </w:p>
        </w:tc>
        <w:tc>
          <w:tcPr>
            <w:tcW w:type="dxa" w:w="38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app.tina.io, project "Golden Hour Wellness Colorado"</w:t>
            </w:r>
          </w:p>
        </w:tc>
        <w:tc>
          <w:tcPr>
            <w:tcW w:type="dxa" w:w="38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Powers the /admin editor. Chad adds you as a user here.</w:t>
            </w:r>
          </w:p>
        </w:tc>
      </w:tr>
      <w:tr>
        <w:trPr>
          <w:tblHeader w:val="false"/>
        </w:trPr>
        <w:tc>
          <w:tcPr>
            <w:tcW w:type="dxa" w:w="22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EmailJS</w:t>
            </w:r>
          </w:p>
        </w:tc>
        <w:tc>
          <w:tcPr>
            <w:tcW w:type="dxa" w:w="38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dashboard.emailjs.com</w:t>
            </w:r>
          </w:p>
        </w:tc>
        <w:tc>
          <w:tcPr>
            <w:tcW w:type="dxa" w:w="38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Delivers the contact form. Registered under Shayla Martinez-O’Brien.</w:t>
            </w:r>
          </w:p>
        </w:tc>
      </w:tr>
      <w:tr>
        <w:trPr>
          <w:tblHeader w:val="false"/>
        </w:trPr>
        <w:tc>
          <w:tcPr>
            <w:tcW w:type="dxa" w:w="22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Acuity Scheduling</w:t>
            </w:r>
          </w:p>
        </w:tc>
        <w:tc>
          <w:tcPr>
            <w:tcW w:type="dxa" w:w="38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Existing Acuity account</w:t>
            </w:r>
          </w:p>
        </w:tc>
        <w:tc>
          <w:tcPr>
            <w:tcW w:type="dxa" w:w="38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Your booking calendar — unchanged, embedded on the homepage.</w:t>
            </w:r>
          </w:p>
        </w:tc>
      </w:tr>
      <w:tr>
        <w:trPr>
          <w:tblHeader w:val="false"/>
        </w:trPr>
        <w:tc>
          <w:tcPr>
            <w:tcW w:type="dxa" w:w="22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Thrizer</w:t>
            </w:r>
          </w:p>
        </w:tc>
        <w:tc>
          <w:tcPr>
            <w:tcW w:type="dxa" w:w="38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Existing Thrizer account</w:t>
            </w:r>
          </w:p>
        </w:tc>
        <w:tc>
          <w:tcPr>
            <w:tcW w:type="dxa" w:w="38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Your insurance benefits checker — unchanged, embedded on the Contact/Services pages.</w:t>
            </w:r>
          </w:p>
        </w:tc>
      </w:tr>
    </w:tbl>
    <w:p>
      <w:pPr>
        <w:spacing w:after="160"/>
      </w:pPr>
    </w:p>
    <w:tbl>
      <w:tblPr>
        <w:tblW w:type="pct" w:w="100%"/>
        <w:tblBorders>
          <w:top w:val="single" w:color="A85832" w:sz="4"/>
          <w:left w:val="single" w:color="A85832" w:sz="4"/>
          <w:bottom w:val="single" w:color="A85832" w:sz="4"/>
          <w:right w:val="single" w:color="A85832" w:sz="4"/>
          <w:insideH w:val="none" w:color="FFFFFF" w:sz="0"/>
          <w:insideV w:val="none" w:color="FFFFFF" w:sz="0"/>
        </w:tblBorders>
      </w:tblPr>
      <w:tblGrid>
        <w:gridCol w:w="100"/>
      </w:tblGrid>
      <w:tr>
        <w:tc>
          <w:tcPr>
            <w:shd w:fill="F4EBE1" w:val="clear"/>
            <w:tcMar>
              <w:top w:type="dxa" w:w="160"/>
              <w:left w:type="dxa" w:w="220"/>
              <w:bottom w:type="dxa" w:w="160"/>
              <w:right w:type="dxa" w:w="220"/>
            </w:tcMar>
          </w:tcPr>
          <w:p>
            <w:pPr>
              <w:spacing w:after="60"/>
            </w:pPr>
            <w:r>
              <w:rPr>
                <w:rFonts w:ascii="Calibri" w:cs="Calibri" w:eastAsia="Calibri" w:hAnsi="Calibri"/>
                <w:b/>
                <w:bCs/>
                <w:color w:val="82431F"/>
                <w:sz w:val="21"/>
                <w:szCs w:val="21"/>
              </w:rPr>
              <w:t xml:space="preserve">A note on passwords</w:t>
            </w:r>
          </w:p>
          <w:p>
            <w:pPr>
              <w:spacing w:after="0"/>
            </w:pPr>
            <w:r>
              <w:rPr>
                <w:rFonts w:ascii="Calibri" w:cs="Calibri" w:eastAsia="Calibri" w:hAnsi="Calibri"/>
                <w:color w:val="2A2622"/>
                <w:sz w:val="21"/>
                <w:szCs w:val="21"/>
              </w:rPr>
              <w:t xml:space="preserve">This document intentionally does not contain any passwords. Chad will share credentials directly and securely for any account you need to log into yourself.</w:t>
            </w:r>
          </w:p>
        </w:tc>
      </w:tr>
    </w:tbl>
    <w:p>
      <w:pPr>
        <w:spacing w:after="200"/>
      </w:pPr>
    </w:p>
    <w:p>
      <w:pPr>
        <w:pStyle w:val="Heading1"/>
        <w:pBdr>
          <w:bottom w:val="single" w:color="A85832" w:sz="6" w:space="6"/>
        </w:pBdr>
        <w:spacing w:after="140" w:before="320"/>
      </w:pPr>
      <w:r>
        <w:rPr>
          <w:rFonts w:ascii="Georgia" w:cs="Georgia" w:eastAsia="Georgia" w:hAnsi="Georgia"/>
          <w:b/>
          <w:bCs/>
          <w:color w:val="2E2034"/>
          <w:sz w:val="30"/>
          <w:szCs w:val="30"/>
        </w:rPr>
        <w:t xml:space="preserve">Getting found — SEO and growth</w:t>
      </w:r>
    </w:p>
    <w:p>
      <w:pPr>
        <w:spacing w:after="160" w:line="300"/>
      </w:pPr>
      <w:r>
        <w:rPr>
          <w:rFonts w:ascii="Calibri" w:cs="Calibri" w:eastAsia="Calibri" w:hAnsi="Calibri"/>
          <w:b w:val="false"/>
          <w:bCs w:val="false"/>
          <w:i w:val="false"/>
          <w:iCs w:val="false"/>
          <w:color w:val="2A2622"/>
          <w:sz w:val="21"/>
          <w:szCs w:val="21"/>
        </w:rPr>
        <w:t xml:space="preserve">The technical groundwork for search visibility is already done: every page has a unique title and description, structured data that helps Google understand you’re a licensed therapy practice, a sitemap, fast load times, and mobile-friendly design throughout. That’s the foundation. The items below are what actually move the needle on being found — and none of them require touching code.</w:t>
      </w:r>
    </w:p>
    <w:p>
      <w:pPr>
        <w:pStyle w:val="Heading2"/>
        <w:spacing w:after="100" w:before="260"/>
      </w:pPr>
      <w:r>
        <w:rPr>
          <w:rFonts w:ascii="Georgia" w:cs="Georgia" w:eastAsia="Georgia" w:hAnsi="Georgia"/>
          <w:b/>
          <w:bCs/>
          <w:color w:val="82431F"/>
          <w:sz w:val="24"/>
          <w:szCs w:val="24"/>
        </w:rPr>
        <w:t xml:space="preserve">Do these first — highest impact</w:t>
      </w:r>
    </w:p>
    <w:p>
      <w:pPr>
        <w:pStyle w:val="ListParagraph"/>
        <w:numPr>
          <w:ilvl w:val="0"/>
          <w:numId w:val="2"/>
        </w:numPr>
        <w:spacing w:after="110" w:line="290"/>
      </w:pPr>
      <w:r>
        <w:rPr>
          <w:rFonts w:ascii="Calibri" w:cs="Calibri" w:eastAsia="Calibri" w:hAnsi="Calibri"/>
          <w:b w:val="false"/>
          <w:bCs w:val="false"/>
          <w:color w:val="2A2622"/>
          <w:sz w:val="21"/>
          <w:szCs w:val="21"/>
        </w:rPr>
        <w:t xml:space="preserve">Claim and complete your Google Business Profile (business.google.com) if you haven’t already. This is very often the single biggest driver of new local clients — make sure your address, phone, hours and website link are accurate, add photos, and select "Counselor" or "Mental Health Service" as your category.</w:t>
      </w:r>
    </w:p>
    <w:p>
      <w:pPr>
        <w:pStyle w:val="ListParagraph"/>
        <w:numPr>
          <w:ilvl w:val="0"/>
          <w:numId w:val="2"/>
        </w:numPr>
        <w:spacing w:after="110" w:line="290"/>
      </w:pPr>
      <w:r>
        <w:rPr>
          <w:rFonts w:ascii="Calibri" w:cs="Calibri" w:eastAsia="Calibri" w:hAnsi="Calibri"/>
          <w:b w:val="false"/>
          <w:bCs w:val="false"/>
          <w:color w:val="2A2622"/>
          <w:sz w:val="21"/>
          <w:szCs w:val="21"/>
        </w:rPr>
        <w:t xml:space="preserve">Ask a handful of recent clients (where clinically and ethically appropriate) to leave a Google review. A steady trickle of reviews matters more for local search ranking than almost anything else.</w:t>
      </w:r>
    </w:p>
    <w:p>
      <w:pPr>
        <w:pStyle w:val="ListParagraph"/>
        <w:numPr>
          <w:ilvl w:val="0"/>
          <w:numId w:val="2"/>
        </w:numPr>
        <w:spacing w:after="110" w:line="290"/>
      </w:pPr>
      <w:r>
        <w:rPr>
          <w:rFonts w:ascii="Calibri" w:cs="Calibri" w:eastAsia="Calibri" w:hAnsi="Calibri"/>
          <w:b w:val="false"/>
          <w:bCs w:val="false"/>
          <w:color w:val="2A2622"/>
          <w:sz w:val="21"/>
          <w:szCs w:val="21"/>
        </w:rPr>
        <w:t xml:space="preserve">Keep your Psychology Today profile current and linked — it’s both a referral source in its own right and a trust signal search engines notice.</w:t>
      </w:r>
    </w:p>
    <w:p>
      <w:pPr>
        <w:pStyle w:val="Heading2"/>
        <w:spacing w:after="100" w:before="260"/>
      </w:pPr>
      <w:r>
        <w:rPr>
          <w:rFonts w:ascii="Georgia" w:cs="Georgia" w:eastAsia="Georgia" w:hAnsi="Georgia"/>
          <w:b/>
          <w:bCs/>
          <w:color w:val="82431F"/>
          <w:sz w:val="24"/>
          <w:szCs w:val="24"/>
        </w:rPr>
        <w:t xml:space="preserve">Ongoing — keeps momentum</w:t>
      </w:r>
    </w:p>
    <w:p>
      <w:pPr>
        <w:pStyle w:val="ListParagraph"/>
        <w:numPr>
          <w:ilvl w:val="0"/>
          <w:numId w:val="2"/>
        </w:numPr>
        <w:spacing w:after="110" w:line="290"/>
      </w:pPr>
      <w:r>
        <w:rPr>
          <w:rFonts w:ascii="Calibri" w:cs="Calibri" w:eastAsia="Calibri" w:hAnsi="Calibri"/>
          <w:b w:val="false"/>
          <w:bCs w:val="false"/>
          <w:color w:val="2A2622"/>
          <w:sz w:val="21"/>
          <w:szCs w:val="21"/>
        </w:rPr>
        <w:t xml:space="preserve">Publish a Journal (blog) post every month or two through /admin. Fresh, genuine content on topics like EMDR, trauma recovery, or the Mama’s Golden Hour group is what search engines reward over time — and it’s already wired to generate its own page, sitemap entry, and social preview automatically.</w:t>
      </w:r>
    </w:p>
    <w:p>
      <w:pPr>
        <w:pStyle w:val="ListParagraph"/>
        <w:numPr>
          <w:ilvl w:val="0"/>
          <w:numId w:val="2"/>
        </w:numPr>
        <w:spacing w:after="110" w:line="290"/>
      </w:pPr>
      <w:r>
        <w:rPr>
          <w:rFonts w:ascii="Calibri" w:cs="Calibri" w:eastAsia="Calibri" w:hAnsi="Calibri"/>
          <w:b w:val="false"/>
          <w:bCs w:val="false"/>
          <w:color w:val="2A2622"/>
          <w:sz w:val="21"/>
          <w:szCs w:val="21"/>
        </w:rPr>
        <w:t xml:space="preserve">Keep the Mama’s Golden Hour cohort dates and the "Enrolling" toggle current — an out-of-date cohort page reads as an inactive practice to both visitors and Google.</w:t>
      </w:r>
    </w:p>
    <w:p>
      <w:pPr>
        <w:pStyle w:val="ListParagraph"/>
        <w:numPr>
          <w:ilvl w:val="0"/>
          <w:numId w:val="2"/>
        </w:numPr>
        <w:spacing w:after="110" w:line="290"/>
      </w:pPr>
      <w:r>
        <w:rPr>
          <w:rFonts w:ascii="Calibri" w:cs="Calibri" w:eastAsia="Calibri" w:hAnsi="Calibri"/>
          <w:b w:val="false"/>
          <w:bCs w:val="false"/>
          <w:color w:val="2A2622"/>
          <w:sz w:val="21"/>
          <w:szCs w:val="21"/>
        </w:rPr>
        <w:t xml:space="preserve">Local directories and citations — make sure your name, address and phone are identical (down to formatting) anywhere you’re listed: Google, Psychology Today, Yelp, Healthgrades, any local Colorado counseling directories.</w:t>
      </w:r>
    </w:p>
    <w:p>
      <w:pPr>
        <w:pStyle w:val="ListParagraph"/>
        <w:numPr>
          <w:ilvl w:val="0"/>
          <w:numId w:val="2"/>
        </w:numPr>
        <w:spacing w:after="110" w:line="290"/>
      </w:pPr>
      <w:r>
        <w:rPr>
          <w:rFonts w:ascii="Calibri" w:cs="Calibri" w:eastAsia="Calibri" w:hAnsi="Calibri"/>
          <w:b w:val="false"/>
          <w:bCs w:val="false"/>
          <w:color w:val="2A2622"/>
          <w:sz w:val="21"/>
          <w:szCs w:val="21"/>
        </w:rPr>
        <w:t xml:space="preserve">Once you have real client-facing traffic, consider Google Search Console (search.google.com/search-console) to see what people are actually searching to find you — free, and worth five minutes with Chad to set up.</w:t>
      </w:r>
    </w:p>
    <w:p>
      <w:pPr>
        <w:spacing w:after="200"/>
      </w:pPr>
    </w:p>
    <w:p>
      <w:pPr>
        <w:pStyle w:val="Heading1"/>
        <w:pBdr>
          <w:bottom w:val="single" w:color="A85832" w:sz="6" w:space="6"/>
        </w:pBdr>
        <w:spacing w:after="140" w:before="320"/>
      </w:pPr>
      <w:r>
        <w:rPr>
          <w:rFonts w:ascii="Georgia" w:cs="Georgia" w:eastAsia="Georgia" w:hAnsi="Georgia"/>
          <w:b/>
          <w:bCs/>
          <w:color w:val="2E2034"/>
          <w:sz w:val="30"/>
          <w:szCs w:val="30"/>
        </w:rPr>
        <w:t xml:space="preserve">If something looks wrong</w:t>
      </w:r>
    </w:p>
    <w:tbl>
      <w:tblPr>
        <w:tblW w:type="dxa" w:w="9800"/>
        <w:tblBorders>
          <w:top w:val="single" w:color="DDD3C6" w:sz="2"/>
          <w:left w:val="single" w:color="DDD3C6" w:sz="2"/>
          <w:bottom w:val="single" w:color="DDD3C6" w:sz="2"/>
          <w:right w:val="single" w:color="DDD3C6" w:sz="2"/>
          <w:insideH w:val="single" w:color="DDD3C6" w:sz="2"/>
          <w:insideV w:val="single" w:color="DDD3C6" w:sz="2"/>
        </w:tblBorders>
      </w:tblPr>
      <w:tblGrid>
        <w:gridCol w:w="2800"/>
        <w:gridCol w:w="2800"/>
        <w:gridCol w:w="4200"/>
      </w:tblGrid>
      <w:tr>
        <w:trPr>
          <w:tblHeader/>
        </w:trPr>
        <w:tc>
          <w:tcPr>
            <w:tcW w:type="dxa" w:w="2800"/>
            <w:shd w:fill="2E2034" w:val="clear"/>
            <w:tcMar>
              <w:top w:type="dxa" w:w="100"/>
              <w:left w:type="dxa" w:w="140"/>
              <w:bottom w:type="dxa" w:w="100"/>
              <w:right w:type="dxa" w:w="140"/>
            </w:tcMar>
          </w:tcPr>
          <w:p>
            <w:r>
              <w:rPr>
                <w:rFonts w:ascii="Calibri" w:cs="Calibri" w:eastAsia="Calibri" w:hAnsi="Calibri"/>
                <w:b/>
                <w:bCs/>
                <w:color w:val="FFFFFF"/>
                <w:sz w:val="19"/>
                <w:szCs w:val="19"/>
              </w:rPr>
              <w:t xml:space="preserve">What you’re seeing</w:t>
            </w:r>
          </w:p>
        </w:tc>
        <w:tc>
          <w:tcPr>
            <w:tcW w:type="dxa" w:w="2800"/>
            <w:shd w:fill="2E2034" w:val="clear"/>
            <w:tcMar>
              <w:top w:type="dxa" w:w="100"/>
              <w:left w:type="dxa" w:w="140"/>
              <w:bottom w:type="dxa" w:w="100"/>
              <w:right w:type="dxa" w:w="140"/>
            </w:tcMar>
          </w:tcPr>
          <w:p>
            <w:r>
              <w:rPr>
                <w:rFonts w:ascii="Calibri" w:cs="Calibri" w:eastAsia="Calibri" w:hAnsi="Calibri"/>
                <w:b/>
                <w:bCs/>
                <w:color w:val="FFFFFF"/>
                <w:sz w:val="19"/>
                <w:szCs w:val="19"/>
              </w:rPr>
              <w:t xml:space="preserve">Likely cause</w:t>
            </w:r>
          </w:p>
        </w:tc>
        <w:tc>
          <w:tcPr>
            <w:tcW w:type="dxa" w:w="4200"/>
            <w:shd w:fill="2E2034" w:val="clear"/>
            <w:tcMar>
              <w:top w:type="dxa" w:w="100"/>
              <w:left w:type="dxa" w:w="140"/>
              <w:bottom w:type="dxa" w:w="100"/>
              <w:right w:type="dxa" w:w="140"/>
            </w:tcMar>
          </w:tcPr>
          <w:p>
            <w:r>
              <w:rPr>
                <w:rFonts w:ascii="Calibri" w:cs="Calibri" w:eastAsia="Calibri" w:hAnsi="Calibri"/>
                <w:b/>
                <w:bCs/>
                <w:color w:val="FFFFFF"/>
                <w:sz w:val="19"/>
                <w:szCs w:val="19"/>
              </w:rPr>
              <w:t xml:space="preserve">What to do</w:t>
            </w:r>
          </w:p>
        </w:tc>
      </w:tr>
      <w:tr>
        <w:trPr>
          <w:tblHeader w:val="false"/>
        </w:trPr>
        <w:tc>
          <w:tcPr>
            <w:tcW w:type="dxa" w:w="28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A word or price is wrong on the site</w:t>
            </w:r>
          </w:p>
        </w:tc>
        <w:tc>
          <w:tcPr>
            <w:tcW w:type="dxa" w:w="28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Content, not code</w:t>
            </w:r>
          </w:p>
        </w:tc>
        <w:tc>
          <w:tcPr>
            <w:tcW w:type="dxa" w:w="42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Fix it yourself at /admin, or ask Chad.</w:t>
            </w:r>
          </w:p>
        </w:tc>
      </w:tr>
      <w:tr>
        <w:trPr>
          <w:tblHeader w:val="false"/>
        </w:trPr>
        <w:tc>
          <w:tcPr>
            <w:tcW w:type="dxa" w:w="28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The site won’t load at all</w:t>
            </w:r>
          </w:p>
        </w:tc>
        <w:tc>
          <w:tcPr>
            <w:tcW w:type="dxa" w:w="28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Hosting or domain issue</w:t>
            </w:r>
          </w:p>
        </w:tc>
        <w:tc>
          <w:tcPr>
            <w:tcW w:type="dxa" w:w="42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Contact Chad — this is the one case that’s time-sensitive.</w:t>
            </w:r>
          </w:p>
        </w:tc>
      </w:tr>
      <w:tr>
        <w:trPr>
          <w:tblHeader w:val="false"/>
        </w:trPr>
        <w:tc>
          <w:tcPr>
            <w:tcW w:type="dxa" w:w="28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Contact form isn’t emailing you</w:t>
            </w:r>
          </w:p>
        </w:tc>
        <w:tc>
          <w:tcPr>
            <w:tcW w:type="dxa" w:w="28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EmailJS quota or config</w:t>
            </w:r>
          </w:p>
        </w:tc>
        <w:tc>
          <w:tcPr>
            <w:tcW w:type="dxa" w:w="4200"/>
            <w:shd w:fill="FBF7F2"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Contact Chad. In the meantime your phone number and email are still listed everywhere on the site.</w:t>
            </w:r>
          </w:p>
        </w:tc>
      </w:tr>
      <w:tr>
        <w:trPr>
          <w:tblHeader w:val="false"/>
        </w:trPr>
        <w:tc>
          <w:tcPr>
            <w:tcW w:type="dxa" w:w="28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A blog post won’t publish</w:t>
            </w:r>
          </w:p>
        </w:tc>
        <w:tc>
          <w:tcPr>
            <w:tcW w:type="dxa" w:w="28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Usually the Published toggle</w:t>
            </w:r>
          </w:p>
        </w:tc>
        <w:tc>
          <w:tcPr>
            <w:tcW w:type="dxa" w:w="4200"/>
            <w:shd w:fill="FFFFFF" w:val="clear"/>
            <w:tcMar>
              <w:top w:type="dxa" w:w="100"/>
              <w:left w:type="dxa" w:w="140"/>
              <w:bottom w:type="dxa" w:w="100"/>
              <w:right w:type="dxa" w:w="140"/>
            </w:tcMar>
          </w:tcPr>
          <w:p>
            <w:r>
              <w:rPr>
                <w:rFonts w:ascii="Calibri" w:cs="Calibri" w:eastAsia="Calibri" w:hAnsi="Calibri"/>
                <w:b w:val="false"/>
                <w:bCs w:val="false"/>
                <w:color w:val="2A2622"/>
                <w:sz w:val="20"/>
                <w:szCs w:val="20"/>
              </w:rPr>
              <w:t xml:space="preserve">Check the toggle in /admin first; ask Chad if it still won’t show.</w:t>
            </w:r>
          </w:p>
        </w:tc>
      </w:tr>
    </w:tbl>
    <w:p>
      <w:pPr>
        <w:spacing w:after="160"/>
      </w:pPr>
    </w:p>
    <w:p>
      <w:pPr>
        <w:spacing w:after="160" w:line="300"/>
      </w:pPr>
      <w:r>
        <w:rPr>
          <w:rFonts w:ascii="Calibri" w:cs="Calibri" w:eastAsia="Calibri" w:hAnsi="Calibri"/>
          <w:b w:val="false"/>
          <w:bCs w:val="false"/>
          <w:i w:val="false"/>
          <w:iCs w:val="false"/>
          <w:color w:val="2A2622"/>
          <w:sz w:val="21"/>
          <w:szCs w:val="21"/>
        </w:rPr>
        <w:t xml:space="preserve">Developer contact: </w:t>
      </w:r>
      <w:r>
        <w:rPr>
          <w:rFonts w:ascii="Calibri" w:cs="Calibri" w:eastAsia="Calibri" w:hAnsi="Calibri"/>
          <w:b/>
          <w:bCs/>
          <w:i w:val="false"/>
          <w:iCs w:val="false"/>
          <w:color w:val="2A2622"/>
          <w:sz w:val="21"/>
          <w:szCs w:val="21"/>
        </w:rPr>
        <w:t xml:space="preserve">Chad Moravec</w:t>
      </w:r>
      <w:r>
        <w:rPr>
          <w:rFonts w:ascii="Calibri" w:cs="Calibri" w:eastAsia="Calibri" w:hAnsi="Calibri"/>
          <w:b w:val="false"/>
          <w:bCs w:val="false"/>
          <w:i w:val="false"/>
          <w:iCs w:val="false"/>
          <w:color w:val="2A2622"/>
          <w:sz w:val="21"/>
          <w:szCs w:val="21"/>
        </w:rPr>
        <w:t xml:space="preserve">  ·  </w:t>
      </w:r>
      <w:r>
        <w:rPr>
          <w:rFonts w:ascii="Calibri" w:cs="Calibri" w:eastAsia="Calibri" w:hAnsi="Calibri"/>
          <w:b w:val="false"/>
          <w:bCs w:val="false"/>
          <w:i w:val="false"/>
          <w:iCs w:val="false"/>
          <w:color w:val="82431F"/>
          <w:sz w:val="21"/>
          <w:szCs w:val="21"/>
        </w:rPr>
        <w:t xml:space="preserve">chad.m.moravec@gmail.com</w:t>
      </w:r>
    </w:p>
    <w:p>
      <w:pPr>
        <w:spacing w:after="200"/>
      </w:pPr>
    </w:p>
    <w:p>
      <w:pPr>
        <w:pStyle w:val="Heading1"/>
        <w:pBdr>
          <w:bottom w:val="single" w:color="A85832" w:sz="6" w:space="6"/>
        </w:pBdr>
        <w:spacing w:after="140" w:before="320"/>
      </w:pPr>
      <w:r>
        <w:rPr>
          <w:rFonts w:ascii="Georgia" w:cs="Georgia" w:eastAsia="Georgia" w:hAnsi="Georgia"/>
          <w:b/>
          <w:bCs/>
          <w:color w:val="2E2034"/>
          <w:sz w:val="30"/>
          <w:szCs w:val="30"/>
        </w:rPr>
        <w:t xml:space="preserve">A few things worth doing soon</w:t>
      </w:r>
    </w:p>
    <w:p>
      <w:pPr>
        <w:spacing w:after="160" w:line="300"/>
      </w:pPr>
      <w:r>
        <w:rPr>
          <w:rFonts w:ascii="Calibri" w:cs="Calibri" w:eastAsia="Calibri" w:hAnsi="Calibri"/>
          <w:b w:val="false"/>
          <w:bCs w:val="false"/>
          <w:i w:val="false"/>
          <w:iCs w:val="false"/>
          <w:color w:val="2A2622"/>
          <w:sz w:val="21"/>
          <w:szCs w:val="21"/>
        </w:rPr>
        <w:t xml:space="preserve">None of these are urgent, but they’re worth closing out in the next few weeks:</w:t>
      </w:r>
    </w:p>
    <w:p>
      <w:pPr>
        <w:pStyle w:val="ListParagraph"/>
        <w:numPr>
          <w:ilvl w:val="0"/>
          <w:numId w:val="2"/>
        </w:numPr>
        <w:spacing w:after="110" w:line="290"/>
      </w:pPr>
      <w:r>
        <w:rPr>
          <w:rFonts w:ascii="Calibri" w:cs="Calibri" w:eastAsia="Calibri" w:hAnsi="Calibri"/>
          <w:b w:val="false"/>
          <w:bCs w:val="false"/>
          <w:color w:val="2A2622"/>
          <w:sz w:val="21"/>
          <w:szCs w:val="21"/>
        </w:rPr>
        <w:t xml:space="preserve">Read through the new page copy Chad wrote (About, Services, Team, FAQ). About 1,800 words describe how the practice works clinically, and while nothing about credentials or experience was invented, it should get your eyes and sign-off before it’s fully indexed by Google.</w:t>
      </w:r>
    </w:p>
    <w:p>
      <w:pPr>
        <w:pStyle w:val="ListParagraph"/>
        <w:numPr>
          <w:ilvl w:val="0"/>
          <w:numId w:val="2"/>
        </w:numPr>
        <w:spacing w:after="110" w:line="290"/>
      </w:pPr>
      <w:r>
        <w:rPr>
          <w:rFonts w:ascii="Calibri" w:cs="Calibri" w:eastAsia="Calibri" w:hAnsi="Calibri"/>
          <w:b w:val="false"/>
          <w:bCs w:val="false"/>
          <w:color w:val="2A2622"/>
          <w:sz w:val="21"/>
          <w:szCs w:val="21"/>
        </w:rPr>
        <w:t xml:space="preserve">Decide on the Google Workspace + BAA question for the contact form (see Section 4) — no rush, just a decision that’s yours to make.</w:t>
      </w:r>
    </w:p>
    <w:p>
      <w:pPr>
        <w:pStyle w:val="ListParagraph"/>
        <w:numPr>
          <w:ilvl w:val="0"/>
          <w:numId w:val="2"/>
        </w:numPr>
        <w:spacing w:after="110" w:line="290"/>
      </w:pPr>
      <w:r>
        <w:rPr>
          <w:rFonts w:ascii="Calibri" w:cs="Calibri" w:eastAsia="Calibri" w:hAnsi="Calibri"/>
          <w:b w:val="false"/>
          <w:bCs w:val="false"/>
          <w:color w:val="2A2622"/>
          <w:sz w:val="21"/>
          <w:szCs w:val="21"/>
        </w:rPr>
        <w:t xml:space="preserve">Confirm you can sign into /admin — Chad will send you the invite; let him know once you’re in.</w:t>
      </w:r>
    </w:p>
    <w:p>
      <w:pPr>
        <w:pStyle w:val="ListParagraph"/>
        <w:numPr>
          <w:ilvl w:val="0"/>
          <w:numId w:val="2"/>
        </w:numPr>
        <w:spacing w:after="110" w:line="290"/>
      </w:pPr>
      <w:r>
        <w:rPr>
          <w:rFonts w:ascii="Calibri" w:cs="Calibri" w:eastAsia="Calibri" w:hAnsi="Calibri"/>
          <w:b w:val="false"/>
          <w:bCs w:val="false"/>
          <w:color w:val="2A2622"/>
          <w:sz w:val="21"/>
          <w:szCs w:val="21"/>
        </w:rPr>
        <w:t xml:space="preserve">Cancel the old Squarespace website subscription once you’ve confirmed everything above looks right — Chad will confirm when it’s safe to do this without affecting your domain or email, which stay put either way.</w:t>
      </w:r>
    </w:p>
    <w:p>
      <w:pPr>
        <w:spacing w:after="260"/>
      </w:pPr>
    </w:p>
    <w:p>
      <w:pPr>
        <w:pBdr>
          <w:top w:val="single" w:color="DDD3C6" w:sz="4" w:space="8"/>
        </w:pBdr>
        <w:spacing w:before="200"/>
      </w:pPr>
      <w:r>
        <w:rPr>
          <w:rFonts w:ascii="Calibri" w:cs="Calibri" w:eastAsia="Calibri" w:hAnsi="Calibri"/>
          <w:i/>
          <w:iCs/>
          <w:color w:val="5C5750"/>
          <w:sz w:val="21"/>
          <w:szCs w:val="21"/>
        </w:rPr>
        <w:t xml:space="preserve">Congratulations on the new site — it’s built to grow with the practice. Reach out any time with questions.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6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2026-09-04T16:38:48.120Z</dcterms:created>
  <dcterms:modified xsi:type="dcterms:W3CDTF">2026-09-04T16:38:48.135Z</dcterms:modified>
</cp:coreProperties>
</file>

<file path=docProps/custom.xml><?xml version="1.0" encoding="utf-8"?>
<Properties xmlns="http://schemas.openxmlformats.org/officeDocument/2006/custom-properties" xmlns:vt="http://schemas.openxmlformats.org/officeDocument/2006/docPropsVTypes"/>
</file>