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CE1126" w:color="auto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C9A84C" w:color="auto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006B3F" w:color="auto" w:val="clear"/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Aptos" w:cs="Aptos" w:eastAsia="Aptos" w:hAnsi="Aptos"/>
          <w:b/>
          <w:bCs/>
          <w:color w:val="17141F"/>
          <w:sz w:val="23"/>
          <w:szCs w:val="23"/>
        </w:rPr>
        <w:t xml:space="preserve">POZOS</w:t>
      </w:r>
      <w:r>
        <w:rPr>
          <w:rFonts w:ascii="Aptos" w:cs="Aptos" w:eastAsia="Aptos" w:hAnsi="Aptos"/>
          <w:b/>
          <w:bCs/>
          <w:color w:val="C9A84C"/>
          <w:sz w:val="23"/>
          <w:szCs w:val="23"/>
        </w:rPr>
        <w:t xml:space="preserve">PHARMA</w:t>
      </w:r>
    </w:p>
    <w:p>
      <w:pPr>
        <w:spacing w:after="80"/>
      </w:pPr>
      <w:r>
        <w:rPr>
          <w:rFonts w:ascii="Aptos Display" w:cs="Aptos Display" w:eastAsia="Aptos Display" w:hAnsi="Aptos Display"/>
          <w:b/>
          <w:bCs/>
          <w:color w:val="17141F"/>
          <w:sz w:val="40"/>
          <w:szCs w:val="40"/>
        </w:rPr>
        <w:t xml:space="preserve">Practice Hub Pharmacist Approval Form</w:t>
      </w:r>
    </w:p>
    <w:p>
      <w:pPr>
        <w:spacing w:after="220"/>
      </w:pPr>
      <w:r>
        <w:rPr>
          <w:rFonts w:ascii="Aptos" w:cs="Aptos" w:eastAsia="Aptos" w:hAnsi="Aptos"/>
          <w:color w:val="5F5A6B"/>
          <w:sz w:val="22"/>
          <w:szCs w:val="22"/>
        </w:rPr>
        <w:t xml:space="preserve">Controlled staging user-acceptance testing and clinical governance decision</w:t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shd w:fill="F7F1DE" w:color="auto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141F"/>
                <w:sz w:val="20"/>
                <w:szCs w:val="20"/>
              </w:rPr>
              <w:t xml:space="preserve">Approval boundary: </w:t>
            </w: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This form approves or rejects a controlled staging pilot. It does not certify the product, endorse it on behalf of PSGH, or authorize production deployment.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7141F"/>
          <w:sz w:val="30"/>
          <w:szCs w:val="30"/>
        </w:rPr>
        <w:t xml:space="preserve">1. Release under review</w:t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Staging URL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/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Git commit / release identifier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/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Review date and time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7141F"/>
          <w:sz w:val="30"/>
          <w:szCs w:val="30"/>
        </w:rPr>
        <w:t xml:space="preserve">2. Reviewer identity</w:t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Full name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/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Pharmacy Council registration number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/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Organisation / practice and professional role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7141F"/>
          <w:sz w:val="30"/>
          <w:szCs w:val="30"/>
        </w:rPr>
        <w:t xml:space="preserve">3. How to perform the review</w:t>
      </w:r>
    </w:p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>Use only the synthetic reviewer account and synthetic clinical records supplied by the project owner.</w:t>
      </w:r>
    </w:p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>Complete every test below on the staging URL. Do not enter a real patient name, contact detail, address, NHIS number, prescription image, or clinical narrative.</w:t>
      </w:r>
    </w:p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>Record Pass, Change required, or N/A in the result column. A Change required result must identify the wording, rule, workflow, or control that should change.</w:t>
      </w:r>
    </w:p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>Review the residual-risk section in the accompanying review packet before selecting a decision.</w:t>
      </w:r>
    </w:p>
    <w:p>
      <w:pPr>
        <w:pStyle w:val="Heading1"/>
      </w:pPr>
      <w:r>
        <w:rPr>
          <w:rFonts w:ascii="Aptos" w:cs="Aptos" w:eastAsia="Aptos" w:hAnsi="Aptos"/>
          <w:b/>
          <w:bCs/>
          <w:color w:val="17141F"/>
          <w:sz w:val="30"/>
          <w:szCs w:val="30"/>
        </w:rPr>
        <w:t xml:space="preserve">4. Staging UAT checklist</w:t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1900"/>
        <w:gridCol w:w="5360"/>
        <w:gridCol w:w="2100"/>
      </w:tblGrid>
      <w:tr>
        <w:trPr>
          <w:tblHeader/>
        </w:trPr>
        <w:tc>
          <w:tcPr>
            <w:tcW w:type="dxa" w:w="1900"/>
            <w:shd w:fill="17141F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5360"/>
            <w:shd w:fill="17141F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What to verify with synthetic data</w:t>
            </w:r>
          </w:p>
        </w:tc>
        <w:tc>
          <w:tcPr>
            <w:tcW w:type="dxa" w:w="2100"/>
            <w:shd w:fill="17141F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Result / note</w:t>
            </w:r>
          </w:p>
        </w:tc>
      </w:tr>
      <w:tr>
        <w:tc>
          <w:tcPr>
            <w:tcW w:type="dxa" w:w="19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Access boundary</w:t>
            </w:r>
          </w:p>
        </w:tc>
        <w:tc>
          <w:tcPr>
            <w:tcW w:type="dxa" w:w="536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Normal and unverified users are denied; verified pharmacist can enter.</w:t>
            </w:r>
          </w:p>
        </w:tc>
      </w:tr>
      <w:tr>
        <w:tc>
          <w:tcPr>
            <w:tcW w:type="dxa" w:w="1900"/>
            <w:shd w:fill="FBFA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Clinical taxonomy</w:t>
            </w:r>
          </w:p>
        </w:tc>
        <w:tc>
          <w:tcPr>
            <w:tcW w:type="dxa" w:w="5360"/>
            <w:shd w:fill="FBFA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Condition, issue, severity, and outcome labels match pharmacy practice.</w:t>
            </w:r>
          </w:p>
        </w:tc>
      </w:tr>
      <w:tr>
        <w:tc>
          <w:tcPr>
            <w:tcW w:type="dxa" w:w="19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Claims boundary</w:t>
            </w:r>
          </w:p>
        </w:tc>
        <w:tc>
          <w:tcPr>
            <w:tcW w:type="dxa" w:w="536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Nothing implies PSGH, NHIA, Ghana FDA, or Pharmacy Council endorsement or submission.</w:t>
            </w:r>
          </w:p>
        </w:tc>
      </w:tr>
      <w:tr>
        <w:tc>
          <w:tcPr>
            <w:tcW w:type="dxa" w:w="1900"/>
            <w:shd w:fill="FBFA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Identifier controls</w:t>
            </w:r>
          </w:p>
        </w:tc>
        <w:tc>
          <w:tcPr>
            <w:tcW w:type="dxa" w:w="5360"/>
            <w:shd w:fill="FBFA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Email, Ghana phone, and NHIS-labelled identifiers are rejected.</w:t>
            </w:r>
          </w:p>
        </w:tc>
      </w:tr>
      <w:tr>
        <w:tc>
          <w:tcPr>
            <w:tcW w:type="dxa" w:w="19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Offline workflow</w:t>
            </w:r>
          </w:p>
        </w:tc>
        <w:tc>
          <w:tcPr>
            <w:tcW w:type="dxa" w:w="536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One synthetic record queues offline and creates exactly one record after reconnect.</w:t>
            </w:r>
          </w:p>
        </w:tc>
      </w:tr>
      <w:tr>
        <w:tc>
          <w:tcPr>
            <w:tcW w:type="dxa" w:w="1900"/>
            <w:shd w:fill="FBFA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Metrics</w:t>
            </w:r>
          </w:p>
        </w:tc>
        <w:tc>
          <w:tcPr>
            <w:tcW w:type="dxa" w:w="5360"/>
            <w:shd w:fill="FBFA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Thirty-day counts and acceptance-rate definition are clinically understandable.</w:t>
            </w:r>
          </w:p>
        </w:tc>
      </w:tr>
      <w:tr>
        <w:tc>
          <w:tcPr>
            <w:tcW w:type="dxa" w:w="19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CSV export</w:t>
            </w:r>
          </w:p>
        </w:tc>
        <w:tc>
          <w:tcPr>
            <w:tcW w:type="dxa" w:w="536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Export is pharmacist-scoped, contains expected fields, and contains no patient identifiers.</w:t>
            </w:r>
          </w:p>
        </w:tc>
      </w:tr>
      <w:tr>
        <w:tc>
          <w:tcPr>
            <w:tcW w:type="dxa" w:w="1900"/>
            <w:shd w:fill="FBFA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Residual risks</w:t>
            </w:r>
          </w:p>
        </w:tc>
        <w:tc>
          <w:tcPr>
            <w:tcW w:type="dxa" w:w="5360"/>
            <w:shd w:fill="FBFAF7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141F"/>
                <w:sz w:val="20"/>
                <w:szCs w:val="20"/>
              </w:rPr>
              <w:t xml:space="preserve">Reviewer accepts or assigns actions for free text, IndexedDB, retention, and escalation risks.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7141F"/>
          <w:sz w:val="30"/>
          <w:szCs w:val="30"/>
        </w:rPr>
        <w:t xml:space="preserve">5. Required clinical decisions</w:t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Approved severity rubric, or changes required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/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Approved outcome list and acceptance-rate definition, or changes required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/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Approved wording for the professional-review flag, or changes required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/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Required retention, correction, deletion, and escalation policy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7141F"/>
          <w:sz w:val="30"/>
          <w:szCs w:val="30"/>
        </w:rPr>
        <w:t xml:space="preserve">6. Decision</w:t>
      </w:r>
    </w:p>
    <w:p>
      <w:pPr>
        <w:spacing w:after="120" w:line="276"/>
      </w:pPr>
      <w:r>
        <w:rPr>
          <w:rFonts w:ascii="Aptos" w:cs="Aptos" w:eastAsia="Aptos" w:hAnsi="Aptos"/>
          <w:b/>
          <w:bCs/>
          <w:color w:val="17141F"/>
          <w:sz w:val="20"/>
          <w:szCs w:val="20"/>
        </w:rPr>
        <w:t xml:space="preserve">Select one: </w:t>
      </w:r>
      <w:r>
        <w:rPr>
          <w:rFonts w:ascii="Aptos" w:cs="Aptos" w:eastAsia="Aptos" w:hAnsi="Aptos"/>
          <w:color w:val="17141F"/>
          <w:sz w:val="20"/>
          <w:szCs w:val="20"/>
        </w:rPr>
        <w:t xml:space="preserve">[  ] Approve for staging pilot   [  ] Approve with conditions   [  ] Reject pending redesign</w:t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Conditions, required changes, or reason for rejection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/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Reviewer signature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141F"/>
          <w:sz w:val="20"/>
          <w:szCs w:val="20"/>
        </w:rPr>
        <w:t xml:space="preserve"/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140" w:before="220"/>
      </w:pPr>
      <w:r>
        <w:rPr>
          <w:rFonts w:ascii="Aptos" w:cs="Aptos" w:eastAsia="Aptos" w:hAnsi="Aptos"/>
          <w:b/>
          <w:bCs/>
          <w:color w:val="17141F"/>
          <w:sz w:val="20"/>
          <w:szCs w:val="20"/>
        </w:rPr>
        <w:t xml:space="preserve">Project-owner acknowledgement: </w:t>
      </w:r>
      <w:r>
        <w:rPr>
          <w:rFonts w:ascii="Aptos" w:cs="Aptos" w:eastAsia="Aptos" w:hAnsi="Aptos"/>
          <w:color w:val="17141F"/>
          <w:sz w:val="20"/>
          <w:szCs w:val="20"/>
        </w:rPr>
        <w:t xml:space="preserve">I have recorded this decision against the release identifier above and will not treat conditional approval as production approval.</w:t>
      </w:r>
    </w:p>
    <w:tbl>
      <w:tblPr>
        <w:tblW w:type="dxa" w:w="936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9360"/>
      </w:tblGrid>
      <w:tr>
        <w:tc>
          <w:tcPr>
            <w:tcW w:type="dxa" w:w="9360"/>
            <w:tcMar>
              <w:top w:type="dxa" w:w="120"/>
              <w:left w:type="dxa" w:w="140"/>
              <w:bottom w:type="dxa" w:w="280"/>
              <w:right w:type="dxa" w:w="14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olor w:val="5F5A6B"/>
                <w:sz w:val="18"/>
                <w:szCs w:val="18"/>
              </w:rPr>
              <w:t xml:space="preserve">Project owner name, signature, and date</w:t>
            </w:r>
          </w:p>
        </w:tc>
      </w:tr>
    </w:tbl>
    <w:sectPr>
      <w:footerReference w:type="default" r:id="rId7"/>
      <w:pgSz w:w="11906" w:h="16838" w:orient="portrait"/>
      <w:pgMar w:top="90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F5A6B"/>
        <w:sz w:val="16"/>
        <w:szCs w:val="16"/>
      </w:rPr>
      <w:t xml:space="preserve">PozosPharma Practice Hub approval record  |  Page </w:t>
    </w:r>
    <w:r>
      <w:rPr>
        <w:rFonts w:ascii="Aptos" w:cs="Aptos" w:eastAsia="Aptos" w:hAnsi="Aptos"/>
        <w:color w:val="5F5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14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ptos Display" w:cs="Aptos Display" w:eastAsia="Aptos Display" w:hAnsi="Aptos Display"/>
      <w:b/>
      <w:bCs/>
      <w:color w:val="1714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ptos Display" w:cs="Aptos Display" w:eastAsia="Aptos Display" w:hAnsi="Aptos Display"/>
      <w:b/>
      <w:bCs/>
      <w:color w:val="006B3F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Hub Pharmacist Approval Form</dc:title>
  <dc:creator>PozosPharma</dc:creator>
  <dc:description>Clinical and governance sign-off record for controlled Practice Hub staging UAT.</dc:description>
  <cp:lastModifiedBy>Un-named</cp:lastModifiedBy>
  <cp:revision>1</cp:revision>
  <dcterms:created xsi:type="dcterms:W3CDTF">2026-08-12T11:44:16.308Z</dcterms:created>
  <dcterms:modified xsi:type="dcterms:W3CDTF">2026-08-12T11:44:16.319Z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