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have to actually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aviation and missile software assurance. That means LLM and RAG pipelines over CWE and CVE corpora, Code Property Graph (CPG) and AST-based static analysis, knowledge graphs, assurance dashboards, federated artifact-management research, and the papers and briefs that come out of all that.</w:t>
      </w:r>
    </w:p>
    <w:p>
      <w:pPr>
        <w:pStyle w:val="BodyText"/>
      </w:pPr>
      <w:r>
        <w:t xml:space="preserve">I prototype fast. Working systems first, polish later. PhD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aviation and missile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40+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disconnected and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DefectDojo contributions (dojo-n-speed).</w:t>
      </w:r>
      <w:r>
        <w:t xml:space="preserve"> </w:t>
      </w:r>
      <w:r>
        <w:t xml:space="preserve">LLM-augmented features in production AppSec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2026-05-14T16:02:15Z</dcterms:created>
  <dcterms:modified xsi:type="dcterms:W3CDTF">2026-05-14T16:02:15Z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