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detection of operational divergence in LLMs and AI deployed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AI-driven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2028. Prelim Spring 2027. Coursework spans supply chain, adversarial AI, and more. Dissertation:</w:t>
      </w:r>
      <w:r>
        <w:t xml:space="preserve"> </w:t>
      </w:r>
      <w:r>
        <w:rPr>
          <w:i/>
          <w:iCs/>
        </w:rPr>
        <w:t xml:space="preserve">Detection of Operational Divergence in LLMs and AI Deployed in Denied Environments</w:t>
      </w:r>
      <w:r>
        <w:t xml:space="preserve">. Adjacent research strands: scalable model interchange (assessing available hardware, evaluating GPU presence, deploying models that fit what’s on hand), and whether correctly-operating AI actually moves a team or organization toward its mission, goals, and vision.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Bash and PowerShell on the systems side. TensorFlow plus the Anthropic, OpenAI, and Ollama SDKs for LLM and AI work; Claude Vision API where vision is in scope. RAG pipelines and vector stores over CWE / CVE / software-assurance corpora. Code Property Graphs (CPG) and AST-based static analysis. Knowledge-graph and graph-database tooling for cross-artifact relationships. SQLite, SQL, pandas. Hadoop for distributed and petabyte-scale data. Docker, docker-compose, hybrid cloud on AWS (EC2, t4g.nano), GPU bursts via RunPod. Git, GitLab, GitHub, Gitea. CI/CD, MLOps, and DevSecOps pipelines. Playwright for browser automation, Typer for CLIs, Bitwarden CLI for secrets. Linux, Windows, and WSL2 development environments.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2026-05-14T17:18:44Z</dcterms:created>
  <dcterms:modified xsi:type="dcterms:W3CDTF">2026-05-14T17:18:44Z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