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while leaving inaccurate internal states unchanged. We examine how this constraint should participate in learning temperature and phase in a synthetic two-dimensional electrothermal device. A partially eliminated PINN solves the grounded electrical problem during training and uses the same face resistances for local Joule deposition. Soft PINN and interpolation controls receive the same final electrical solve. Four paired full-label fits on two separately reconstructed protocols retain the complete device-advantage criterion under three numerical references and two readers; current and power error reductions over the soft controls are 47.03-76.52% and 47.86-77.50% with the spatial reference and finer reader. Strong interpolation supplies a ranking counterexample, and matched controls do not establish added reconstruction value from the thermal/phase interior residual package. A complete second-cycle phase gap and subsequent bounded phase-correction tests retain this limitation. In a common-measure diagnostic, an observation-preserving neural correction lowers its scalar physical objective by 89.91% while increasing the raw phase-residual square 10.32-fold. Thus objective reduction and repaired ports cannot substitute for separately evaluated dynamic consistency. The results support a tested electrical-interface configuration and delimit its attribution; they do not establish neural-specific phase completion, strict two-cycle usability, formal out-of-distribution generalization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can restore terminal consistency without repairing the learned evolving state. We therefore ask two separate questions: whether training with the electrical constraint improves reconstruction after every method receives the same final solve, and whether the additional thermal/phase interior residuals contribute under complete and phase-gap observation conditions.</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 specific coupling interface and a matched test of its reconstruction benefit. Neural temperature and phase determine a grounded finite-volume electrical solution. The same face resistances determine local Joule deposition in the thermal balance. Providing the same final electrical solution to the soft and interpolation controls tests whether final electrical repair explains the measured differences. The existing experiments support this training configuration relative to the tested soft comparator. They do not establish a new implicit-differentiation principle or an independent benefit from the additional thermal/phase interior residuals.</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manuscript-01.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manuscript-02.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manuscript-03.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manuscript-04.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manuscript-0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manuscript-06.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manuscript-07.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manuscript-08.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manuscript-09.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manuscript-10.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manuscript-1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manuscript-12.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manuscript-13.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manuscript-14.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manuscript-1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manuscript-16.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manuscript-17.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manuscript-18.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manuscript-19.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manuscript-2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manuscript-21.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precede the new execution.</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manuscript-22.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manuscript-23.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new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manuscript-24.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Reconstruction after common electrical repair</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29.png"/>
                    <pic:cNvPicPr/>
                  </pic:nvPicPr>
                  <pic:blipFill>
                    <a:blip r:embed="rId36"/>
                    <a:stretch>
                      <a:fillRect/>
                    </a:stretch>
                  </pic:blipFill>
                  <pic:spPr>
                    <a:xfrm>
                      <a:off x="0" y="0"/>
                      <a:ext cx="6236208" cy="4304280"/>
                    </a:xfrm>
                    <a:prstGeom prst="rect"/>
                  </pic:spPr>
                </pic:pic>
              </a:graphicData>
            </a:graphic>
          </wp:inline>
        </w:drawing>
      </w:r>
    </w:p>
    <w:p>
      <w:pPr>
        <w:pStyle w:val="Caption"/>
      </w:pPr>
      <w:r>
        <w:t>Figure 2.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7" name="Picture 27"/>
            <wp:cNvGraphicFramePr>
              <a:graphicFrameLocks noChangeAspect="1"/>
            </wp:cNvGraphicFramePr>
            <a:graphic>
              <a:graphicData uri="http://schemas.openxmlformats.org/drawingml/2006/picture">
                <pic:pic>
                  <pic:nvPicPr>
                    <pic:cNvPr id="0" name="fig15-common-reader.png"/>
                    <pic:cNvPicPr/>
                  </pic:nvPicPr>
                  <pic:blipFill>
                    <a:blip r:embed="rId37"/>
                    <a:stretch>
                      <a:fillRect/>
                    </a:stretch>
                  </pic:blipFill>
                  <pic:spPr>
                    <a:xfrm>
                      <a:off x="0" y="0"/>
                      <a:ext cx="6236208" cy="4979799"/>
                    </a:xfrm>
                    <a:prstGeom prst="rect"/>
                  </pic:spPr>
                </pic:pic>
              </a:graphicData>
            </a:graphic>
          </wp:inline>
        </w:drawing>
      </w:r>
    </w:p>
    <w:p>
      <w:pPr>
        <w:pStyle w:val="Caption"/>
      </w:pPr>
      <w:r>
        <w:t>Figure 3.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The strong interpolation counterexample</w:t>
      </w:r>
    </w:p>
    <w:p>
      <w:pPr/>
      <w:r>
        <w:t>This robustness does not extend uniformly to B_E. For original-protocol seed 43 and the 240×120 reader, the full-precision records give:</w:t>
      </w:r>
    </w:p>
    <w:p>
      <w:pPr>
        <w:pStyle w:val="Caption"/>
        <w:keepNext/>
      </w:pPr>
      <w:r>
        <w:t>Table 2.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38">
        <w:r>
          <w:rPr>
            <w:color w:val="176B87"/>
          </w:rPr>
          <w:t>the P04 table</w:t>
        </w:r>
      </w:hyperlink>
      <w:r>
        <w:t>; these display values do not re-adjudicate thresholds.</w:t>
      </w:r>
    </w:p>
    <w:p>
      <w:pPr>
        <w:pStyle w:val="Heading1"/>
      </w:pPr>
      <w:r>
        <w:t>5. Dynamic residual increments and failure diagnostics</w:t>
      </w:r>
    </w:p>
    <w:p>
      <w:pPr>
        <w:pStyle w:val="Heading2"/>
      </w:pPr>
      <w:r>
        <w:t>5.1 Full-label matched D_E evidence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5.2 Second-cycle phase-gap reconstruction</w:t>
      </w:r>
    </w:p>
    <w:p>
      <w:pPr/>
      <w:r>
        <w:t>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3.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phase-t2.png"/>
                    <pic:cNvPicPr/>
                  </pic:nvPicPr>
                  <pic:blipFill>
                    <a:blip r:embed="rId39"/>
                    <a:stretch>
                      <a:fillRect/>
                    </a:stretch>
                  </pic:blipFill>
                  <pic:spPr>
                    <a:xfrm>
                      <a:off x="0" y="0"/>
                      <a:ext cx="6236208" cy="4088120"/>
                    </a:xfrm>
                    <a:prstGeom prst="rect"/>
                  </pic:spPr>
                </pic:pic>
              </a:graphicData>
            </a:graphic>
          </wp:inline>
        </w:drawing>
      </w:r>
    </w:p>
    <w:p>
      <w:pPr>
        <w:pStyle w:val="Caption"/>
      </w:pPr>
      <w:r>
        <w:t>Figure 4.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29" name="Picture 29"/>
            <wp:cNvGraphicFramePr>
              <a:graphicFrameLocks noChangeAspect="1"/>
            </wp:cNvGraphicFramePr>
            <a:graphic>
              <a:graphicData uri="http://schemas.openxmlformats.org/drawingml/2006/picture">
                <pic:pic>
                  <pic:nvPicPr>
                    <pic:cNvPr id="0" name="fig05-b1-matched-effects.png"/>
                    <pic:cNvPicPr/>
                  </pic:nvPicPr>
                  <pic:blipFill>
                    <a:blip r:embed="rId40"/>
                    <a:stretch>
                      <a:fillRect/>
                    </a:stretch>
                  </pic:blipFill>
                  <pic:spPr>
                    <a:xfrm>
                      <a:off x="0" y="0"/>
                      <a:ext cx="6236208" cy="4257619"/>
                    </a:xfrm>
                    <a:prstGeom prst="rect"/>
                  </pic:spPr>
                </pic:pic>
              </a:graphicData>
            </a:graphic>
          </wp:inline>
        </w:drawing>
      </w:r>
    </w:p>
    <w:p>
      <w:pPr>
        <w:pStyle w:val="Caption"/>
      </w:pPr>
      <w:r>
        <w:t>Figure 5.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5.3 Whole-history costs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4.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5.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an event can coexist with failure of the phase and strict two-cycle criteria.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2"/>
      </w:pPr>
      <w:r>
        <w:t>5.4 Bounded corrections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Its endpoint derivative and value mismatches remain substantial, so the result supports considering a bounded search within the original correction family without establishing that family's feasibility or a neural-specific increment (Supplement S23).</w:t>
      </w:r>
    </w:p>
    <w:p>
      <w:pPr>
        <w:keepNext/>
        <w:spacing w:after="60"/>
      </w:pPr>
      <w:r>
        <w:drawing>
          <wp:inline xmlns:a="http://schemas.openxmlformats.org/drawingml/2006/main" xmlns:pic="http://schemas.openxmlformats.org/drawingml/2006/picture">
            <wp:extent cx="6236208" cy="3679924"/>
            <wp:docPr id="30" name="Picture 30"/>
            <wp:cNvGraphicFramePr>
              <a:graphicFrameLocks noChangeAspect="1"/>
            </wp:cNvGraphicFramePr>
            <a:graphic>
              <a:graphicData uri="http://schemas.openxmlformats.org/drawingml/2006/picture">
                <pic:pic>
                  <pic:nvPicPr>
                    <pic:cNvPr id="0" name="physics-objective-diagnostic.png"/>
                    <pic:cNvPicPr/>
                  </pic:nvPicPr>
                  <pic:blipFill>
                    <a:blip r:embed="rId41"/>
                    <a:stretch>
                      <a:fillRect/>
                    </a:stretch>
                  </pic:blipFill>
                  <pic:spPr>
                    <a:xfrm>
                      <a:off x="0" y="0"/>
                      <a:ext cx="6236208" cy="3679924"/>
                    </a:xfrm>
                    <a:prstGeom prst="rect"/>
                  </pic:spPr>
                </pic:pic>
              </a:graphicData>
            </a:graphic>
          </wp:inline>
        </w:drawing>
      </w:r>
    </w:p>
    <w:p>
      <w:pPr>
        <w:pStyle w:val="Caption"/>
      </w:pPr>
      <w:r>
        <w:t>Figure 6.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4.2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Supplement S10-S13 and the separately indexed array extension. These limits prevent attributing the core effect to a demonstrated new gate, extra capacity or arbitrary-grid robustness.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and no acceleration over a conventional forward solver is claimed.</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pStyle w:val="Heading1"/>
      </w:pPr>
      <w:r>
        <w:t>7. Conclusions and availability</w:t>
      </w:r>
    </w:p>
    <w:p>
      <w:pPr/>
      <w:r>
        <w:t>Training-time electrical elimination with consistent local Joule deposition produces a matched device-reconstruction benefit over the tested soft PINN after both receive the same final electrical repair. All four full-label pairs retain the complete device criterion under the declared reference and reader changes. Strong interpolation supplies a continuous reversal and a reader-sensitive advantage decision, limiting the scope of that benefit.</w:t>
      </w:r>
    </w:p>
    <w:p>
      <w:pPr/>
      <w:r>
        <w:t>Matched full-label and phase-gap controls do not establish the expected additional dynamic-residual increment. The bounded relative-residual and observation-preserving studies retain this limitation; lower scalar loss and unchanged electrical ports do not establish a qualified internal phase reconstruction. Strict two-cycle usability remains unestablished. The evidence separates a configuration-level benefit from unresolved algorithmic, generalization and material claims.</w:t>
      </w:r>
    </w:p>
    <w:p>
      <w:pPr>
        <w:pStyle w:val="Heading2"/>
      </w:pPr>
      <w:r>
        <w:t>Data, code and author declarations</w:t>
      </w:r>
    </w:p>
    <w:p>
      <w:pPr/>
      <w:r>
        <w:t xml:space="preserve">The curated repository through </w:t>
      </w:r>
      <w:hyperlink r:id="rId42">
        <w:r>
          <w:rPr>
            <w:color w:val="176B87"/>
          </w:rPr>
          <w:t>commit e2e14b5</w:t>
        </w:r>
      </w:hyperlink>
      <w:r>
        <w:t xml:space="preserve"> includes selected manuscript, B1, bounded-correction and diagnostic evidence. This integrated review version and its new conditional diagnostic are a subsequent local delivery. The full prediction/reference arrays remain local. The portable packages retain 72 core, 18 historical continuation and 42 B1 reference/reader records; these counts are not independent replications. The completed core arithmetic reproduction checked 8,868 scalar, identity and Boolean entries at rtol=2e-10 and atol=2e-12 with exact categorical agreement. Array rescoring, figure rebuilding, new model inference and retraining are distinct reproduction levels. No independent external retraining is claimed. The accompanying evidence map identifies the actual source records and figure inputs.</w:t>
      </w:r>
    </w:p>
    <w:p>
      <w:pPr/>
      <w:r>
        <w:t>Full arrays have not been publicly uploaded or assigned a DOI. Public or controlled reviewer access, appropriate distribution permission and persistent archiving require author approval.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contains no experimental or human-subject data.</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3">
        <w:r>
          <w:rPr>
            <w:color w:val="176B87"/>
          </w:rPr>
          <w:t>DOI: 10.1016/j.jcp.2018.10.045</w:t>
        </w:r>
      </w:hyperlink>
      <w:r>
        <w:rPr>
          <w:sz w:val="17"/>
        </w:rPr>
        <w:t xml:space="preserve">. </w:t>
      </w:r>
      <w:hyperlink r:id="rId44">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5">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6">
        <w:r>
          <w:rPr>
            <w:color w:val="176B87"/>
          </w:rPr>
          <w:t>Author full text</w:t>
        </w:r>
      </w:hyperlink>
      <w:r>
        <w:rPr>
          <w:sz w:val="17"/>
        </w:rPr>
        <w:t xml:space="preserve">. </w:t>
      </w:r>
      <w:hyperlink r:id="rId47">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8">
        <w:r>
          <w:rPr>
            <w:color w:val="176B87"/>
          </w:rPr>
          <w:t>DOI: 10.1016/j.jcp.2021.110651</w:t>
        </w:r>
      </w:hyperlink>
      <w:r>
        <w:rPr>
          <w:sz w:val="17"/>
        </w:rPr>
        <w:t xml:space="preserve">. </w:t>
      </w:r>
      <w:hyperlink r:id="rId49">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0">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1">
        <w:r>
          <w:rPr>
            <w:color w:val="176B87"/>
          </w:rPr>
          <w:t>DOI: 10.1016/j.jcp.2021.110754</w:t>
        </w:r>
      </w:hyperlink>
      <w:r>
        <w:rPr>
          <w:sz w:val="17"/>
        </w:rPr>
        <w:t xml:space="preserve">. </w:t>
      </w:r>
      <w:hyperlink r:id="rId52">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3">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4">
        <w:r>
          <w:rPr>
            <w:color w:val="176B87"/>
          </w:rPr>
          <w:t>DOI: 10.1063/5.0222379</w:t>
        </w:r>
      </w:hyperlink>
      <w:r>
        <w:rPr>
          <w:sz w:val="17"/>
        </w:rPr>
        <w:t xml:space="preserve">. </w:t>
      </w:r>
      <w:hyperlink r:id="rId55">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6">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7">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8">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59">
        <w:r>
          <w:rPr>
            <w:color w:val="176B87"/>
          </w:rPr>
          <w:t>Author record</w:t>
        </w:r>
      </w:hyperlink>
      <w:r>
        <w:rPr>
          <w:sz w:val="17"/>
        </w:rPr>
        <w:t xml:space="preserve">. </w:t>
      </w:r>
      <w:hyperlink r:id="rId60">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1">
        <w:r>
          <w:rPr>
            <w:color w:val="176B87"/>
          </w:rPr>
          <w:t>Author preprint</w:t>
        </w:r>
      </w:hyperlink>
      <w:r>
        <w:rPr>
          <w:sz w:val="17"/>
        </w:rPr>
        <w:t xml:space="preserve">. </w:t>
      </w:r>
      <w:hyperlink r:id="rId62">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3">
        <w:r>
          <w:rPr>
            <w:color w:val="176B87"/>
          </w:rPr>
          <w:t>Author preprint</w:t>
        </w:r>
      </w:hyperlink>
      <w:r>
        <w:rPr>
          <w:sz w:val="17"/>
        </w:rPr>
        <w:t xml:space="preserve">. </w:t>
      </w:r>
      <w:hyperlink r:id="rId64">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5">
        <w:r>
          <w:rPr>
            <w:color w:val="176B87"/>
          </w:rPr>
          <w:t>Author record</w:t>
        </w:r>
      </w:hyperlink>
      <w:r>
        <w:rPr>
          <w:sz w:val="17"/>
        </w:rPr>
        <w:t xml:space="preserve">. </w:t>
      </w:r>
      <w:hyperlink r:id="rId66">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7">
        <w:r>
          <w:rPr>
            <w:color w:val="176B87"/>
          </w:rPr>
          <w:t>DOI: 10.1137/21M1397908</w:t>
        </w:r>
      </w:hyperlink>
      <w:r>
        <w:rPr>
          <w:sz w:val="17"/>
        </w:rPr>
        <w:t xml:space="preserve">. </w:t>
      </w:r>
      <w:hyperlink r:id="rId68">
        <w:r>
          <w:rPr>
            <w:color w:val="176B87"/>
          </w:rPr>
          <w:t>Author full text</w:t>
        </w:r>
      </w:hyperlink>
      <w:r>
        <w:rPr>
          <w:sz w:val="17"/>
        </w:rPr>
        <w:t xml:space="preserve">. </w:t>
      </w:r>
      <w:hyperlink r:id="rId69">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0">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1">
        <w:r>
          <w:rPr>
            <w:color w:val="176B87"/>
          </w:rPr>
          <w:t>Author record</w:t>
        </w:r>
      </w:hyperlink>
      <w:r>
        <w:rPr>
          <w:sz w:val="17"/>
        </w:rPr>
        <w:t xml:space="preserve">. </w:t>
      </w:r>
      <w:hyperlink r:id="rId72">
        <w:r>
          <w:rPr>
            <w:color w:val="176B87"/>
          </w:rPr>
          <w:t>Publisher metadata</w:t>
        </w:r>
      </w:hyperlink>
      <w:r>
        <w:rPr>
          <w:sz w:val="17"/>
        </w:rPr>
        <w: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Integrated review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yperlink" Target="file:///E:/Python%20demo/PINN-PCM-SCI/paper/paper_revision_20260925_integrated/tables/P04-original43-fine-continuous-effects.csv" TargetMode="Externa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github.com/ghy001122/PINN-PCM-SCI/tree/e2e14b5ce390de930646e1cba9a606a8191cff80" TargetMode="External"/><Relationship Id="rId43" Type="http://schemas.openxmlformats.org/officeDocument/2006/relationships/hyperlink" Target="https://doi.org/10.1016/j.jcp.2018.10.045" TargetMode="External"/><Relationship Id="rId44" Type="http://schemas.openxmlformats.org/officeDocument/2006/relationships/hyperlink" Target="https://arxiv.org/abs/1711.10561" TargetMode="External"/><Relationship Id="rId45" Type="http://schemas.openxmlformats.org/officeDocument/2006/relationships/hyperlink" Target="https://arxiv.org/html/2001.04536" TargetMode="External"/><Relationship Id="rId46" Type="http://schemas.openxmlformats.org/officeDocument/2006/relationships/hyperlink" Target="https://arxiv.org/html/2007.00016" TargetMode="External"/><Relationship Id="rId47" Type="http://schemas.openxmlformats.org/officeDocument/2006/relationships/hyperlink" Target="https://ge.in.tum.de/publications/2020-um-solver-in-the-loop/" TargetMode="External"/><Relationship Id="rId48" Type="http://schemas.openxmlformats.org/officeDocument/2006/relationships/hyperlink" Target="https://doi.org/10.1016/j.jcp.2021.110651" TargetMode="External"/><Relationship Id="rId49" Type="http://schemas.openxmlformats.org/officeDocument/2006/relationships/hyperlink" Target="https://arxiv.org/html/2101.00962" TargetMode="External"/><Relationship Id="rId50" Type="http://schemas.openxmlformats.org/officeDocument/2006/relationships/hyperlink" Target="https://arxiv.org/html/2105.15183" TargetMode="External"/><Relationship Id="rId51" Type="http://schemas.openxmlformats.org/officeDocument/2006/relationships/hyperlink" Target="https://doi.org/10.1016/j.jcp.2021.110754" TargetMode="External"/><Relationship Id="rId52" Type="http://schemas.openxmlformats.org/officeDocument/2006/relationships/hyperlink" Target="https://arxiv.org/html/2012.05343" TargetMode="External"/><Relationship Id="rId53" Type="http://schemas.openxmlformats.org/officeDocument/2006/relationships/hyperlink" Target="https://doi.org/10.1016/0001-6160%2879%2990196-2" TargetMode="External"/><Relationship Id="rId54" Type="http://schemas.openxmlformats.org/officeDocument/2006/relationships/hyperlink" Target="https://doi.org/10.1063/5.0222379" TargetMode="External"/><Relationship Id="rId55" Type="http://schemas.openxmlformats.org/officeDocument/2006/relationships/hyperlink" Target="https://arxiv.org/html/2409.06463" TargetMode="External"/><Relationship Id="rId56" Type="http://schemas.openxmlformats.org/officeDocument/2006/relationships/hyperlink" Target="https://arxiv.org/abs/1412.6980" TargetMode="External"/><Relationship Id="rId57" Type="http://schemas.openxmlformats.org/officeDocument/2006/relationships/hyperlink" Target="https://users.iems.northwestern.edu/~nocedal/Abstracts/limited-memory.html" TargetMode="External"/><Relationship Id="rId58" Type="http://schemas.openxmlformats.org/officeDocument/2006/relationships/hyperlink" Target="https://arxiv.org/abs/1512.03385" TargetMode="External"/><Relationship Id="rId59" Type="http://schemas.openxmlformats.org/officeDocument/2006/relationships/hyperlink" Target="https://arxiv.org/abs/2511.09048v2" TargetMode="External"/><Relationship Id="rId60" Type="http://schemas.openxmlformats.org/officeDocument/2006/relationships/hyperlink" Target="https://arxiv.org/html/2511.09048v2" TargetMode="External"/><Relationship Id="rId61" Type="http://schemas.openxmlformats.org/officeDocument/2006/relationships/hyperlink" Target="https://arxiv.org/abs/1603.05332" TargetMode="External"/><Relationship Id="rId62" Type="http://schemas.openxmlformats.org/officeDocument/2006/relationships/hyperlink" Target="https://doi.org/10.1137/16M1060984" TargetMode="External"/><Relationship Id="rId63" Type="http://schemas.openxmlformats.org/officeDocument/2006/relationships/hyperlink" Target="https://arxiv.org/abs/1809.05549" TargetMode="External"/><Relationship Id="rId64" Type="http://schemas.openxmlformats.org/officeDocument/2006/relationships/hyperlink" Target="https://doi.org/10.1103/PhysRevApplied.11.014059" TargetMode="External"/><Relationship Id="rId65" Type="http://schemas.openxmlformats.org/officeDocument/2006/relationships/hyperlink" Target="https://arxiv.org/abs/2207.08675v2" TargetMode="External"/><Relationship Id="rId66" Type="http://schemas.openxmlformats.org/officeDocument/2006/relationships/hyperlink" Target="https://arxiv.org/html/2207.08675v2" TargetMode="External"/><Relationship Id="rId67" Type="http://schemas.openxmlformats.org/officeDocument/2006/relationships/hyperlink" Target="https://doi.org/10.1137/21M1397908" TargetMode="External"/><Relationship Id="rId68" Type="http://schemas.openxmlformats.org/officeDocument/2006/relationships/hyperlink" Target="https://arxiv.org/html/2102.04626" TargetMode="External"/><Relationship Id="rId69" Type="http://schemas.openxmlformats.org/officeDocument/2006/relationships/hyperlink" Target="https://github.com/lululxvi/hpinn" TargetMode="External"/><Relationship Id="rId70" Type="http://schemas.openxmlformats.org/officeDocument/2006/relationships/hyperlink" Target="https://arxiv.org/abs/2512.05881v1" TargetMode="External"/><Relationship Id="rId71" Type="http://schemas.openxmlformats.org/officeDocument/2006/relationships/hyperlink" Target="https://arxiv.org/abs/2601.06244v1" TargetMode="External"/><Relationship Id="rId72" Type="http://schemas.openxmlformats.org/officeDocument/2006/relationships/hyperlink" Target="https://api.datacite.org/dois/10.34734/FZJ-2025-02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manuscript from frozen evidence and a bounded conditional diagnostic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