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while leaving inaccurate internal states unchanged. We examine how this constraint should participate in learning temperature and phase in a synthetic two-dimensional electrothermal device. A partially eliminated PINN solves the grounded electrical problem during training and uses the same face resistances for local Joule deposition. Soft PINN and interpolation controls receive the same final electrical solve. Four paired full-label fits on two separately reconstructed protocols retain the complete device-advantage criterion under three numerical references and two readers; current and power error reductions over the original F controls are 47.03-76.52% and 47.86-77.50% with the spatial reference and finer reader. Against a soft control with mixed-measure space-time coverage enhancement, the eliminated configuration reduces current error by 52.68% and 66.55% for the two shorter-protocol initializations under the spatially refined reference and finer electrical reader. Strong interpolation supplies a ranking counterexample, and matched controls do not establish added reconstruction value from the thermal/phase interior residual package. A complete second-cycle phase gap and subsequent bounded phase-correction tests retain this limitation. In a common-measure diagnostic, an observation-preserving neural correction lowers its scalar physical objective by 89.91% while increasing the raw phase-residual square 10.32-fold. Thus objective reduction and repaired ports cannot substitute for separately evaluated dynamic consistency. The results support a tested electrical-interface configuration and delimit its attribution; they do not establish neural-specific phase completion, strict two-cycle usability, formal out-of-distribution generalization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can restore terminal consistency without repairing the learned evolving state. We therefore ask two separate questions: whether training with the electrical constraint improves reconstruction after every method receives the same final solve, and whether the additional thermal/phase interior residuals contribute under complete and phase-gap observation conditions.</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 specific coupling interface and a matched test of its reconstruction benefit. Neural temperature and phase determine a grounded finite-volume electrical solution. The same face resistances determine local Joule deposition in the thermal balance. Providing the same final electrical solution to the soft and interpolation controls tests whether final electrical repair explains the measured differences. The existing experiments support this training configuration relative to the tested soft comparator. They do not establish a new implicit-differentiation principle or an independent benefit from the additional thermal/phase interior residuals.</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manuscript-01.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manuscript-02.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manuscript-03.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manuscript-04.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manuscript-0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manuscript-06.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manuscript-07.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manuscript-08.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manuscript-09.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manuscript-10.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manuscript-1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manuscript-12.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manuscript-13.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manuscript-14.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manuscript-1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manuscript-16.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manuscript-17.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manuscript-18.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manuscript-19.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manuscript-2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manuscript-21.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precede the new execution.</w:t>
      </w:r>
    </w:p>
    <w:p>
      <w:pPr/>
      <w:r>
        <w:t>The controls answer distinct questions. F_cov tests the declared mixed-measure strengthening of the soft electrical configuration; D_E tests the additional thermal/phase interior-residual package; B_E tests competitiveness under its stated use of visible fields; B1 tests a complete second-cycle phase-observation gap. E/F and E/F_cov remain configuration comparisons and do not isolate the VJP.</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manuscript-22.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manuscript-23.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new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manuscript-24.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Reconstruction after common electrical repair</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29.png"/>
                    <pic:cNvPicPr/>
                  </pic:nvPicPr>
                  <pic:blipFill>
                    <a:blip r:embed="rId36"/>
                    <a:stretch>
                      <a:fillRect/>
                    </a:stretch>
                  </pic:blipFill>
                  <pic:spPr>
                    <a:xfrm>
                      <a:off x="0" y="0"/>
                      <a:ext cx="6236208" cy="4304280"/>
                    </a:xfrm>
                    <a:prstGeom prst="rect"/>
                  </pic:spPr>
                </pic:pic>
              </a:graphicData>
            </a:graphic>
          </wp:inline>
        </w:drawing>
      </w:r>
    </w:p>
    <w:p>
      <w:pPr>
        <w:pStyle w:val="Caption"/>
      </w:pPr>
      <w:r>
        <w:t>Figure 2.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7" name="Picture 27"/>
            <wp:cNvGraphicFramePr>
              <a:graphicFrameLocks noChangeAspect="1"/>
            </wp:cNvGraphicFramePr>
            <a:graphic>
              <a:graphicData uri="http://schemas.openxmlformats.org/drawingml/2006/picture">
                <pic:pic>
                  <pic:nvPicPr>
                    <pic:cNvPr id="0" name="fig15-common-reader.png"/>
                    <pic:cNvPicPr/>
                  </pic:nvPicPr>
                  <pic:blipFill>
                    <a:blip r:embed="rId37"/>
                    <a:stretch>
                      <a:fillRect/>
                    </a:stretch>
                  </pic:blipFill>
                  <pic:spPr>
                    <a:xfrm>
                      <a:off x="0" y="0"/>
                      <a:ext cx="6236208" cy="4979799"/>
                    </a:xfrm>
                    <a:prstGeom prst="rect"/>
                  </pic:spPr>
                </pic:pic>
              </a:graphicData>
            </a:graphic>
          </wp:inline>
        </w:drawing>
      </w:r>
    </w:p>
    <w:p>
      <w:pPr>
        <w:pStyle w:val="Caption"/>
      </w:pPr>
      <w:r>
        <w:t>Figure 3.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The strong interpolation counterexample</w:t>
      </w:r>
    </w:p>
    <w:p>
      <w:pPr/>
      <w:r>
        <w:t>This robustness does not extend uniformly to B_E. For original-protocol seed 43 and the 240×120 reader, the full-precision records give:</w:t>
      </w:r>
    </w:p>
    <w:p>
      <w:pPr>
        <w:pStyle w:val="Caption"/>
        <w:keepNext/>
      </w:pPr>
      <w:r>
        <w:t>Table 2.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38">
        <w:r>
          <w:rPr>
            <w:color w:val="176B87"/>
          </w:rPr>
          <w:t>the P04 table</w:t>
        </w:r>
      </w:hyperlink>
      <w:r>
        <w:t>; these display values do not re-adjudicate thresholds.</w:t>
      </w:r>
    </w:p>
    <w:p>
      <w:pPr>
        <w:pStyle w:val="Heading2"/>
      </w:pPr>
      <w:r>
        <w:t>4.3 Mixed-measure coverage enhancement</w:t>
      </w:r>
    </w:p>
    <w:p>
      <w:pPr/>
      <w:r>
        <w:t>Two additional soft-PINN continuations retain the short-interval full-label parents, observation streams, non-electrical objectives, calibration and soft-network Joule source. Their electrical penalty replaces the original term with equal normalized physical-time and powered-observation-time measures over all 3200 cells. This changes spatial coverage and temporal measure together; it is not a pure coverage or isolated VJP experiment.</w:t>
      </w:r>
    </w:p>
    <w:p>
      <w:pPr/>
      <w:r>
        <w:t>Against F_cov, E satisfies the original whole-history phase criterion A and device criterion B in 12/12 conditions each: two initializations, each evaluated with three references and two readers. The twelve rows are sensitivity conditions of two endpoints, not independent repetitions. F_cov satisfies A/B against its historical F in 0/12 and 0/12 conditions, and satisfies the unchanged strict rule in 0/12. These are twelve sensitivity records for two new continuations, not twelve independent runs.</w:t>
      </w:r>
    </w:p>
    <w:p>
      <w:pPr>
        <w:pStyle w:val="Caption"/>
        <w:keepNext/>
      </w:pPr>
      <w:r>
        <w:t>Table 2a. Continuous effects against F_cov under the spatially refined reference and finer electrical reader. Current NRMSE is reported in percent from the native 240 by 120 electrical reader; phase RMS uses the original 160 by 80 ROI. Values are display summaries of the existing spatial/fine/E_vs_F_cov rows, not new threshold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F cov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E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F cov</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2.1463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52.68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0.0199363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17.46</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2.09424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66.55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0.0244337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19.12</w:t>
            </w:r>
          </w:p>
        </w:tc>
      </w:tr>
    </w:tbl>
    <w:p>
      <w:pPr>
        <w:spacing w:after="20"/>
      </w:pP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 Continuous metrics, all criterion failures and original network readouts are retained in Supplement S24. The result tests robustness to this stronger soft configuration; initialization, active-variable and enforcement differences still prevent single-mechanism attribution.</w:t>
      </w:r>
    </w:p>
    <w:p>
      <w:pPr>
        <w:pStyle w:val="Heading1"/>
      </w:pPr>
      <w:r>
        <w:t>5. Dynamic residual increments and failure diagnostics</w:t>
      </w:r>
    </w:p>
    <w:p>
      <w:pPr>
        <w:pStyle w:val="Heading2"/>
      </w:pPr>
      <w:r>
        <w:t>5.1 Full-label matched D_E evidence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5.2 Second-cycle phase-gap reconstruction</w:t>
      </w:r>
    </w:p>
    <w:p>
      <w:pPr/>
      <w:r>
        <w:t>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3.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phase-t2.png"/>
                    <pic:cNvPicPr/>
                  </pic:nvPicPr>
                  <pic:blipFill>
                    <a:blip r:embed="rId39"/>
                    <a:stretch>
                      <a:fillRect/>
                    </a:stretch>
                  </pic:blipFill>
                  <pic:spPr>
                    <a:xfrm>
                      <a:off x="0" y="0"/>
                      <a:ext cx="6236208" cy="4088120"/>
                    </a:xfrm>
                    <a:prstGeom prst="rect"/>
                  </pic:spPr>
                </pic:pic>
              </a:graphicData>
            </a:graphic>
          </wp:inline>
        </w:drawing>
      </w:r>
    </w:p>
    <w:p>
      <w:pPr>
        <w:pStyle w:val="Caption"/>
      </w:pPr>
      <w:r>
        <w:t>Figure 4.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29" name="Picture 29"/>
            <wp:cNvGraphicFramePr>
              <a:graphicFrameLocks noChangeAspect="1"/>
            </wp:cNvGraphicFramePr>
            <a:graphic>
              <a:graphicData uri="http://schemas.openxmlformats.org/drawingml/2006/picture">
                <pic:pic>
                  <pic:nvPicPr>
                    <pic:cNvPr id="0" name="fig05-b1-matched-effects.png"/>
                    <pic:cNvPicPr/>
                  </pic:nvPicPr>
                  <pic:blipFill>
                    <a:blip r:embed="rId40"/>
                    <a:stretch>
                      <a:fillRect/>
                    </a:stretch>
                  </pic:blipFill>
                  <pic:spPr>
                    <a:xfrm>
                      <a:off x="0" y="0"/>
                      <a:ext cx="6236208" cy="4257619"/>
                    </a:xfrm>
                    <a:prstGeom prst="rect"/>
                  </pic:spPr>
                </pic:pic>
              </a:graphicData>
            </a:graphic>
          </wp:inline>
        </w:drawing>
      </w:r>
    </w:p>
    <w:p>
      <w:pPr>
        <w:pStyle w:val="Caption"/>
      </w:pPr>
      <w:r>
        <w:t>Figure 5.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5.3 Whole-history costs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4.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5.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an event can coexist with failure of the phase and strict two-cycle criteria.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2"/>
      </w:pPr>
      <w:r>
        <w:t>5.4 Bounded corrections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This gain comes with lower active-support recall: restricting the native reference indicator gives 0.974612 for B0 and 0.763383 for the fine conditional trajectory, while precision rises from 0.410817 to 0.890215. Thresholding after restriction separately gives recall 0.982021 to 0.776968. These D-only measures do not replace the original event rule or the historical W-window denominator. The left first-derivative seam RMS remains 0.497703 and the right value seam RMS is 0.020563. Thus the result informs a bounded feasibility question while establishing neither the original correction family's feasibility nor a neural-specific increment (Supplement S23).</w:t>
      </w:r>
    </w:p>
    <w:p>
      <w:pPr>
        <w:keepNext/>
        <w:spacing w:after="60"/>
      </w:pPr>
      <w:r>
        <w:drawing>
          <wp:inline xmlns:a="http://schemas.openxmlformats.org/drawingml/2006/main" xmlns:pic="http://schemas.openxmlformats.org/drawingml/2006/picture">
            <wp:extent cx="6236208" cy="3679924"/>
            <wp:docPr id="30" name="Picture 30"/>
            <wp:cNvGraphicFramePr>
              <a:graphicFrameLocks noChangeAspect="1"/>
            </wp:cNvGraphicFramePr>
            <a:graphic>
              <a:graphicData uri="http://schemas.openxmlformats.org/drawingml/2006/picture">
                <pic:pic>
                  <pic:nvPicPr>
                    <pic:cNvPr id="0" name="physics-objective-diagnostic.png"/>
                    <pic:cNvPicPr/>
                  </pic:nvPicPr>
                  <pic:blipFill>
                    <a:blip r:embed="rId41"/>
                    <a:stretch>
                      <a:fillRect/>
                    </a:stretch>
                  </pic:blipFill>
                  <pic:spPr>
                    <a:xfrm>
                      <a:off x="0" y="0"/>
                      <a:ext cx="6236208" cy="3679924"/>
                    </a:xfrm>
                    <a:prstGeom prst="rect"/>
                  </pic:spPr>
                </pic:pic>
              </a:graphicData>
            </a:graphic>
          </wp:inline>
        </w:drawing>
      </w:r>
    </w:p>
    <w:p>
      <w:pPr>
        <w:pStyle w:val="Caption"/>
      </w:pPr>
      <w:r>
        <w:t>Figure 6.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4.2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Supplement S10-S13 and the separately indexed array extension. These limits prevent attributing the core effect to a demonstrated new gate, extra capacity or arbitrary-grid robustness.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and no acceleration over a conventional forward solver is claimed.</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r>
        <w:t>For example, the VO2 thermal neuristors of Qiu et al. [19] combine capacitive electrical dynamics, hysteretic resistance and inter-device thermal coupling. Their fitted lumped parameters and measured circuit branches cannot be inserted into this synthetic object as a material calibration. A future limited-observation reconstruction study would need a source-consistent spatial thermal contract, legal initial history, explicit measurement branches and a conventional solver or smoother using the same information. No experimental temperature or phase truth is supplied by the present numerical study.</w:t>
      </w:r>
    </w:p>
    <w:p>
      <w:pPr>
        <w:pStyle w:val="Heading1"/>
      </w:pPr>
      <w:r>
        <w:t>7. Conclusions and availability</w:t>
      </w:r>
    </w:p>
    <w:p>
      <w:pPr/>
      <w:r>
        <w:t>Training-time electrical elimination with consistent local Joule deposition produces a matched device-reconstruction benefit over the original F soft-PINN configuration after both receive the same final electrical repair. All four full-label pairs retain the complete device criterion under the declared reference and reader changes. Strong interpolation supplies a continuous reversal and a reader-sensitive advantage decision, limiting the scope of that benefit. The stronger mixed-measure F_cov comparison retains the E device criterion in 12/12 shorter-protocol sensitivity conditions; this outcome further bounds the configuration-level claim.</w:t>
      </w:r>
    </w:p>
    <w:p>
      <w:pPr/>
      <w:r>
        <w:t>Matched full-label and phase-gap controls do not establish the expected additional dynamic-residual increment. The bounded relative-residual and observation-preserving studies retain this limitation; lower scalar loss and unchanged electrical ports do not establish a qualified internal phase reconstruction. Strict two-cycle usability remains unestablished. The evidence separates a configuration-level benefit from unresolved algorithmic, generalization and material claims.</w:t>
      </w:r>
    </w:p>
    <w:p>
      <w:pPr>
        <w:pStyle w:val="Heading2"/>
      </w:pPr>
      <w:r>
        <w:t>Data, code and author declarations</w:t>
      </w:r>
    </w:p>
    <w:p>
      <w:pPr/>
      <w:r>
        <w:t xml:space="preserve">Curated manuscript and evidence releases are publicly available in the project repository. The </w:t>
      </w:r>
      <w:hyperlink r:id="rId42">
        <w:r>
          <w:rPr>
            <w:color w:val="176B87"/>
          </w:rPr>
          <w:t>circuit V/I scoring subset at commit 709b10f</w:t>
        </w:r>
      </w:hyperlink>
      <w:r>
        <w:t xml:space="preserve"> includes ten saved numerical source-voltage/current records, finite voltage observations, locked PCHIP and cubic-spline predictions and polynomial coefficients, fixed scoring code and complete result tables. Its entry supports independent saved-array rescoring; the recorded isolated-directory rerun reproduced the circuit results exactly. This subset does not provide new ODE/PDE integration, checkpoint inference, neural AD residual evaluation or retraining. A standalone numerical package retains 72 core, 18 historical continuation and 42 B1 reference/reader records, all eight moment arms, the correction controls, the saved conditional-evolution and residual arrays, and all twelve new F_cov reference/reader records. These counts are not independent replications. Its entry was actually run in a separate directory with access to the original repository denied; missing required inputs fail instead of falling back to that repository. The core reproduction checked 8,868 scalar, identity and Boolean entries at the original rtol=2e-10 and atol=2e-12, with exact categorical agreement. Saved-array rescoring, saved-residual reaggregation, new checkpoint inference and retraining are separate capabilities. Reaggregating archived AD residual values is not a new computation of neural AD residuals. No independent external retraining is claimed. The accompanying evidence map, package guide and per-scope verification records identify the complete inputs and actual reproduction level.</w:t>
      </w:r>
    </w:p>
    <w:p>
      <w:pPr/>
      <w:r>
        <w:t>The separate full prediction/reference field arrays and checkpoints for the two-dimensional PINN study remain local and have no public dataset DOI. Public or controlled reviewer access, appropriate distribution permission and persistent archiving for that full-field package require author approval; publication of the circuit subset does not close the full-paper access gap (P03).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generates no experimental or human-subject data; cited third-party device measurements retain their separate source and rights.</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3">
        <w:r>
          <w:rPr>
            <w:color w:val="176B87"/>
          </w:rPr>
          <w:t>DOI: 10.1016/j.jcp.2018.10.045</w:t>
        </w:r>
      </w:hyperlink>
      <w:r>
        <w:rPr>
          <w:sz w:val="17"/>
        </w:rPr>
        <w:t xml:space="preserve">. </w:t>
      </w:r>
      <w:hyperlink r:id="rId44">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5">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6">
        <w:r>
          <w:rPr>
            <w:color w:val="176B87"/>
          </w:rPr>
          <w:t>Author full text</w:t>
        </w:r>
      </w:hyperlink>
      <w:r>
        <w:rPr>
          <w:sz w:val="17"/>
        </w:rPr>
        <w:t xml:space="preserve">. </w:t>
      </w:r>
      <w:hyperlink r:id="rId47">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8">
        <w:r>
          <w:rPr>
            <w:color w:val="176B87"/>
          </w:rPr>
          <w:t>DOI: 10.1016/j.jcp.2021.110651</w:t>
        </w:r>
      </w:hyperlink>
      <w:r>
        <w:rPr>
          <w:sz w:val="17"/>
        </w:rPr>
        <w:t xml:space="preserve">. </w:t>
      </w:r>
      <w:hyperlink r:id="rId49">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0">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1">
        <w:r>
          <w:rPr>
            <w:color w:val="176B87"/>
          </w:rPr>
          <w:t>DOI: 10.1016/j.jcp.2021.110754</w:t>
        </w:r>
      </w:hyperlink>
      <w:r>
        <w:rPr>
          <w:sz w:val="17"/>
        </w:rPr>
        <w:t xml:space="preserve">. </w:t>
      </w:r>
      <w:hyperlink r:id="rId52">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3">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4">
        <w:r>
          <w:rPr>
            <w:color w:val="176B87"/>
          </w:rPr>
          <w:t>DOI: 10.1063/5.0222379</w:t>
        </w:r>
      </w:hyperlink>
      <w:r>
        <w:rPr>
          <w:sz w:val="17"/>
        </w:rPr>
        <w:t xml:space="preserve">. </w:t>
      </w:r>
      <w:hyperlink r:id="rId55">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6">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7">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8">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59">
        <w:r>
          <w:rPr>
            <w:color w:val="176B87"/>
          </w:rPr>
          <w:t>Author record</w:t>
        </w:r>
      </w:hyperlink>
      <w:r>
        <w:rPr>
          <w:sz w:val="17"/>
        </w:rPr>
        <w:t xml:space="preserve">. </w:t>
      </w:r>
      <w:hyperlink r:id="rId60">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1">
        <w:r>
          <w:rPr>
            <w:color w:val="176B87"/>
          </w:rPr>
          <w:t>Author preprint</w:t>
        </w:r>
      </w:hyperlink>
      <w:r>
        <w:rPr>
          <w:sz w:val="17"/>
        </w:rPr>
        <w:t xml:space="preserve">. </w:t>
      </w:r>
      <w:hyperlink r:id="rId62">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3">
        <w:r>
          <w:rPr>
            <w:color w:val="176B87"/>
          </w:rPr>
          <w:t>Author preprint</w:t>
        </w:r>
      </w:hyperlink>
      <w:r>
        <w:rPr>
          <w:sz w:val="17"/>
        </w:rPr>
        <w:t xml:space="preserve">. </w:t>
      </w:r>
      <w:hyperlink r:id="rId64">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5">
        <w:r>
          <w:rPr>
            <w:color w:val="176B87"/>
          </w:rPr>
          <w:t>Author record</w:t>
        </w:r>
      </w:hyperlink>
      <w:r>
        <w:rPr>
          <w:sz w:val="17"/>
        </w:rPr>
        <w:t xml:space="preserve">. </w:t>
      </w:r>
      <w:hyperlink r:id="rId66">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7">
        <w:r>
          <w:rPr>
            <w:color w:val="176B87"/>
          </w:rPr>
          <w:t>DOI: 10.1137/21M1397908</w:t>
        </w:r>
      </w:hyperlink>
      <w:r>
        <w:rPr>
          <w:sz w:val="17"/>
        </w:rPr>
        <w:t xml:space="preserve">. </w:t>
      </w:r>
      <w:hyperlink r:id="rId68">
        <w:r>
          <w:rPr>
            <w:color w:val="176B87"/>
          </w:rPr>
          <w:t>Author full text</w:t>
        </w:r>
      </w:hyperlink>
      <w:r>
        <w:rPr>
          <w:sz w:val="17"/>
        </w:rPr>
        <w:t xml:space="preserve">. </w:t>
      </w:r>
      <w:hyperlink r:id="rId69">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0">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1">
        <w:r>
          <w:rPr>
            <w:color w:val="176B87"/>
          </w:rPr>
          <w:t>Author record</w:t>
        </w:r>
      </w:hyperlink>
      <w:r>
        <w:rPr>
          <w:sz w:val="17"/>
        </w:rPr>
        <w:t xml:space="preserve">. </w:t>
      </w:r>
      <w:hyperlink r:id="rId72">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73">
        <w:r>
          <w:rPr>
            <w:color w:val="176B87"/>
          </w:rPr>
          <w:t>DOI: 10.1002/adma.202306818</w:t>
        </w:r>
      </w:hyperlink>
      <w:r>
        <w:rPr>
          <w:sz w:val="17"/>
        </w:rPr>
        <w:t xml:space="preserve">. </w:t>
      </w:r>
      <w:hyperlink r:id="rId74">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Circuit screen revision 28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yperlink" Target="file:///E:/Python%20demo/PINN-PCM-SCI/paper/paper_revision_20260928_conditional_thermal/manuscript/tables/P04-original43-fine-continuous-effects.csv" TargetMode="Externa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github.com/ghy001122/PINN-PCM-SCI/tree/709b10fd28fc8fc80c9103acd68be02c35ac2816/paper/paper_revision_20260928_circuit_comparison/scoring-subset" TargetMode="External"/><Relationship Id="rId43" Type="http://schemas.openxmlformats.org/officeDocument/2006/relationships/hyperlink" Target="https://doi.org/10.1016/j.jcp.2018.10.045" TargetMode="External"/><Relationship Id="rId44" Type="http://schemas.openxmlformats.org/officeDocument/2006/relationships/hyperlink" Target="https://arxiv.org/abs/1711.10561" TargetMode="External"/><Relationship Id="rId45" Type="http://schemas.openxmlformats.org/officeDocument/2006/relationships/hyperlink" Target="https://arxiv.org/html/2001.04536" TargetMode="External"/><Relationship Id="rId46" Type="http://schemas.openxmlformats.org/officeDocument/2006/relationships/hyperlink" Target="https://arxiv.org/html/2007.00016" TargetMode="External"/><Relationship Id="rId47" Type="http://schemas.openxmlformats.org/officeDocument/2006/relationships/hyperlink" Target="https://ge.in.tum.de/publications/2020-um-solver-in-the-loop/" TargetMode="External"/><Relationship Id="rId48" Type="http://schemas.openxmlformats.org/officeDocument/2006/relationships/hyperlink" Target="https://doi.org/10.1016/j.jcp.2021.110651" TargetMode="External"/><Relationship Id="rId49" Type="http://schemas.openxmlformats.org/officeDocument/2006/relationships/hyperlink" Target="https://arxiv.org/html/2101.00962" TargetMode="External"/><Relationship Id="rId50" Type="http://schemas.openxmlformats.org/officeDocument/2006/relationships/hyperlink" Target="https://arxiv.org/html/2105.15183" TargetMode="External"/><Relationship Id="rId51" Type="http://schemas.openxmlformats.org/officeDocument/2006/relationships/hyperlink" Target="https://doi.org/10.1016/j.jcp.2021.110754" TargetMode="External"/><Relationship Id="rId52" Type="http://schemas.openxmlformats.org/officeDocument/2006/relationships/hyperlink" Target="https://arxiv.org/html/2012.05343" TargetMode="External"/><Relationship Id="rId53" Type="http://schemas.openxmlformats.org/officeDocument/2006/relationships/hyperlink" Target="https://doi.org/10.1016/0001-6160%2879%2990196-2" TargetMode="External"/><Relationship Id="rId54" Type="http://schemas.openxmlformats.org/officeDocument/2006/relationships/hyperlink" Target="https://doi.org/10.1063/5.0222379" TargetMode="External"/><Relationship Id="rId55" Type="http://schemas.openxmlformats.org/officeDocument/2006/relationships/hyperlink" Target="https://arxiv.org/html/2409.06463" TargetMode="External"/><Relationship Id="rId56" Type="http://schemas.openxmlformats.org/officeDocument/2006/relationships/hyperlink" Target="https://arxiv.org/abs/1412.6980" TargetMode="External"/><Relationship Id="rId57" Type="http://schemas.openxmlformats.org/officeDocument/2006/relationships/hyperlink" Target="https://users.iems.northwestern.edu/~nocedal/Abstracts/limited-memory.html" TargetMode="External"/><Relationship Id="rId58" Type="http://schemas.openxmlformats.org/officeDocument/2006/relationships/hyperlink" Target="https://arxiv.org/abs/1512.03385" TargetMode="External"/><Relationship Id="rId59" Type="http://schemas.openxmlformats.org/officeDocument/2006/relationships/hyperlink" Target="https://arxiv.org/abs/2511.09048v2" TargetMode="External"/><Relationship Id="rId60" Type="http://schemas.openxmlformats.org/officeDocument/2006/relationships/hyperlink" Target="https://arxiv.org/html/2511.09048v2" TargetMode="External"/><Relationship Id="rId61" Type="http://schemas.openxmlformats.org/officeDocument/2006/relationships/hyperlink" Target="https://arxiv.org/abs/1603.05332" TargetMode="External"/><Relationship Id="rId62" Type="http://schemas.openxmlformats.org/officeDocument/2006/relationships/hyperlink" Target="https://doi.org/10.1137/16M1060984" TargetMode="External"/><Relationship Id="rId63" Type="http://schemas.openxmlformats.org/officeDocument/2006/relationships/hyperlink" Target="https://arxiv.org/abs/1809.05549" TargetMode="External"/><Relationship Id="rId64" Type="http://schemas.openxmlformats.org/officeDocument/2006/relationships/hyperlink" Target="https://doi.org/10.1103/PhysRevApplied.11.014059" TargetMode="External"/><Relationship Id="rId65" Type="http://schemas.openxmlformats.org/officeDocument/2006/relationships/hyperlink" Target="https://arxiv.org/abs/2207.08675v2" TargetMode="External"/><Relationship Id="rId66" Type="http://schemas.openxmlformats.org/officeDocument/2006/relationships/hyperlink" Target="https://arxiv.org/html/2207.08675v2" TargetMode="External"/><Relationship Id="rId67" Type="http://schemas.openxmlformats.org/officeDocument/2006/relationships/hyperlink" Target="https://doi.org/10.1137/21M1397908" TargetMode="External"/><Relationship Id="rId68" Type="http://schemas.openxmlformats.org/officeDocument/2006/relationships/hyperlink" Target="https://arxiv.org/html/2102.04626" TargetMode="External"/><Relationship Id="rId69" Type="http://schemas.openxmlformats.org/officeDocument/2006/relationships/hyperlink" Target="https://github.com/lululxvi/hpinn" TargetMode="External"/><Relationship Id="rId70" Type="http://schemas.openxmlformats.org/officeDocument/2006/relationships/hyperlink" Target="https://arxiv.org/abs/2512.05881v1" TargetMode="External"/><Relationship Id="rId71" Type="http://schemas.openxmlformats.org/officeDocument/2006/relationships/hyperlink" Target="https://arxiv.org/abs/2601.06244v1" TargetMode="External"/><Relationship Id="rId72" Type="http://schemas.openxmlformats.org/officeDocument/2006/relationships/hyperlink" Target="https://api.datacite.org/dois/10.34734/FZJ-2025-02453" TargetMode="External"/><Relationship Id="rId73" Type="http://schemas.openxmlformats.org/officeDocument/2006/relationships/hyperlink" Target="https://doi.org/10.1002/adma.202306818" TargetMode="External"/><Relationship Id="rId74"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