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What Hasn't Ended Yet</w:t>
        <w:br/>
      </w:r>
      <w:r>
        <w:rPr>
          <w:i/>
          <w:sz w:val="26"/>
        </w:rPr>
        <w:t>Constructed Authority, Transitional Mandates, and the Longevity of Unresolved Administrations</w:t>
      </w:r>
    </w:p>
    <w:p>
      <w:pPr>
        <w:spacing w:after="360"/>
        <w:jc w:val="center"/>
      </w:pPr>
      <w:r>
        <w:rPr>
          <w:b/>
          <w:sz w:val="22"/>
        </w:rPr>
        <w:t>Gia Bao Huynh</w:t>
        <w:br/>
      </w:r>
      <w:r>
        <w:rPr>
          <w:sz w:val="20"/>
        </w:rPr>
        <w:t>Independent Researcher, Ho Chi Minh City, Vietnam · ORCID: 0009-0008-2372-5852</w:t>
        <w:br/>
      </w:r>
      <w:r>
        <w:rPr>
          <w:i/>
          <w:sz w:val="20"/>
        </w:rPr>
        <w:t>Series: Institutional Endurance: Site, Template, and the Structures That Outlast Their Builders (Volume III)</w:t>
        <w:br/>
        <w:t>Target Publisher: Yale University Press</w:t>
      </w:r>
    </w:p>
    <w:p>
      <w:r>
        <w:rPr>
          <w:b/>
          <w:sz w:val="22"/>
        </w:rPr>
        <w:t>Abstract</w:t>
      </w:r>
    </w:p>
    <w:p>
      <w:pPr>
        <w:spacing w:after="360"/>
        <w:ind w:left="720" w:right="720"/>
      </w:pPr>
      <w:r>
        <w:rPr>
          <w:i/>
          <w:sz w:val="20"/>
        </w:rPr>
        <w:t>When external interveners establish transitional administrations in war-torn or fragmented polities, the formal mandate invariably promises a temporary trusteeship that will dissolve upon the establishment of self-sustaining democratic institutions. Yet, historical comparison reveals a profound structural bifurcation: while transitional regimes that revived pre-existing legitimate authorities (such as Cambodia's restoration of the monarchy) or built on small homogeneous polities with clear paths to sovereignty (such as East Timor) concluded within 1.6 to 2.6 years, international administrations established in contested, ethnically divided territories have persisted for decades. This volume presents a right-censoring-aware duration analysis across N=10 governing arrangements (8 historical concluded regimes and 2 active international administrations: Bosnia and Herzegovina under the Office of the High Representative [31+ years] and Kosovo under UNMIK [27+ years]). While both active arrangements have outlasted all short transitional interventions, they remain younger than preserved-authority protectorates (median 52.0 years). Through deep comparative analysis of Kosovo, Bosnia, Cambodia, and East Timor, we demonstrate that when external powers cannot preserve or revive native traditional authority and must instead construct new consociational structures, the international backstop becomes structural: removing the external arbitrator threatens to collapse the domestic political equilibrium, converting temporary transitional mandates into open-ended, semi-permanent protectorates.</w:t>
      </w:r>
    </w:p>
    <w:p>
      <w:pPr>
        <w:keepNext/>
        <w:spacing w:before="280" w:after="120"/>
      </w:pPr>
      <w:r>
        <w:rPr>
          <w:b/>
          <w:color w:val="111111"/>
          <w:sz w:val="28"/>
        </w:rPr>
        <w:t>1. Introduction and Typology of Borrowed Legitimacy</w:t>
      </w:r>
    </w:p>
    <w:p>
      <w:r>
        <w:t>The central inquiry of this three-volume series has focused on how governing structures persist when external rulers govern through arrangements other than direct, unmediated sovereign force. Volume I established the institutional divergence between direct and indirect colonial administrations, demonstrating that bureaucratic forms outlast their builders through the entrenchment of local administrative classes. Volume II examined the conditions under which borrowed legitimacy arrangements break down versus when they achieve negotiated institutional exits through crisp-set Qualitative Comparative Analysis.</w:t>
      </w:r>
    </w:p>
    <w:p>
      <w:r>
        <w:t>This concluding volume addresses the opposite phenomenon: what happens when an arrangement cannot end? Specifically, it analyzes post-Cold War international transitional administrations where external powers assume executive and legislative sovereignty under the rubric of peacebuilding and democratization.</w:t>
      </w:r>
    </w:p>
    <w:p>
      <w:r>
        <w:t>To conceptualize the structural longevity of these arrangements, we construct a four-fold typology of borrowed legitimacy based on the origin of the domestic institutional substrate:</w:t>
      </w:r>
    </w:p>
    <w:p>
      <w:pPr>
        <w:pStyle w:val="ListBullet"/>
      </w:pPr>
      <w:r>
        <w:rPr>
          <w:b/>
        </w:rPr>
        <w:t xml:space="preserve">Preserved Authority: </w:t>
      </w:r>
      <w:r>
        <w:t>The external power leaves pre-existing traditional, royal, or administrative authorities intact and operative, governing through their established domestic standing while reserving ultimate executive veto. Archetypes: Northern Nigerian Emirates (1900–1960; 60y), French Protectorates in Morocco (1912–1956; 44y) and Tunisia (1881–1956; 75y), Yuan Dynasty in China (1234–1368; 134y), Tang Protectorate in Vietnam (679–938; 259y), SCAP Japan (1945–1952; 7y).</w:t>
      </w:r>
    </w:p>
    <w:p>
      <w:pPr>
        <w:pStyle w:val="ListBullet"/>
      </w:pPr>
      <w:r>
        <w:rPr>
          <w:b/>
        </w:rPr>
        <w:t xml:space="preserve">Revived Authority: </w:t>
      </w:r>
      <w:r>
        <w:t>The intervening authority restores or re-activates a dormant, exiled, or traditional source of domestic legitimacy whose historical standing remains intact among the populace. Archetype: UN Transitional Authority in Cambodia (UNTAC, 1992–1993; 1.6y), which restored Prince Norodom Sihanouk and the Cambodian monarchy to bridge factional divides.</w:t>
      </w:r>
    </w:p>
    <w:p>
      <w:pPr>
        <w:pStyle w:val="ListBullet"/>
      </w:pPr>
      <w:r>
        <w:rPr>
          <w:b/>
        </w:rPr>
        <w:t xml:space="preserve">Constructed Authority: </w:t>
      </w:r>
      <w:r>
        <w:t>The external power builds state and administrative apparatuses entirely from scratch in territories where previous sovereign structures were eradicated, delegitimized, or absent, without an existing traditional sovereign substrate. Archetypes: UN Transitional Administration in East Timor (UNTAET, 1999–2002; 2.6y); UN Interim Administration Mission in Kosovo (UNMIK, 1999–present; 27.0+ y).</w:t>
      </w:r>
    </w:p>
    <w:p>
      <w:pPr>
        <w:pStyle w:val="ListBullet"/>
      </w:pPr>
      <w:r>
        <w:rPr>
          <w:b/>
        </w:rPr>
        <w:t xml:space="preserve">Hybrid Authority: </w:t>
      </w:r>
      <w:r>
        <w:t>The external power designs an intricate consociational constitutional order superimposed over fiercely contested, pre-existing sub-national ethnic communities, maintaining supreme executive and legislative arbitration in a permanent international office. Archetype: The Office of the High Representative (OHR) under the Dayton Peace Agreement in Bosnia and Herzegovina (1995–present; 31.0+ y).</w:t>
      </w:r>
    </w:p>
    <w:p>
      <w:pPr>
        <w:keepNext/>
        <w:spacing w:before="280" w:after="120"/>
      </w:pPr>
      <w:r>
        <w:rPr>
          <w:b/>
          <w:color w:val="111111"/>
          <w:sz w:val="28"/>
        </w:rPr>
        <w:t>2. Module A: Quantitative Duration Analysis Under Right-Censoring</w:t>
      </w:r>
    </w:p>
    <w:p>
      <w:r>
        <w:t>To evaluate where contemporary international administrations sit relative to historical precedents, we conduct a duration comparison across a curated dataset of N=10 distinct governing arrangements, categorized by institutional archetype and empirical lifespan.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AEAEA"/>
          </w:tcPr>
          <w:p>
            <w:pPr>
              <w:spacing w:line="240" w:lineRule="auto" w:after="40" w:before="40"/>
            </w:pPr>
            <w:r>
              <w:rPr>
                <w:b/>
                <w:sz w:val="18"/>
              </w:rPr>
              <w:t>Governing Arrangement</w:t>
            </w:r>
          </w:p>
        </w:tc>
        <w:tc>
          <w:tcPr>
            <w:tcW w:type="dxa" w:w="1337"/>
            <w:shd w:fill="EAEAEA"/>
          </w:tcPr>
          <w:p>
            <w:pPr>
              <w:spacing w:line="240" w:lineRule="auto" w:after="40" w:before="40"/>
            </w:pPr>
            <w:r>
              <w:rPr>
                <w:b/>
                <w:sz w:val="18"/>
              </w:rPr>
              <w:t>Type</w:t>
            </w:r>
          </w:p>
        </w:tc>
        <w:tc>
          <w:tcPr>
            <w:tcW w:type="dxa" w:w="1337"/>
            <w:shd w:fill="EAEAEA"/>
          </w:tcPr>
          <w:p>
            <w:pPr>
              <w:spacing w:line="240" w:lineRule="auto" w:after="40" w:before="40"/>
            </w:pPr>
            <w:r>
              <w:rPr>
                <w:b/>
                <w:sz w:val="18"/>
              </w:rPr>
              <w:t>Start</w:t>
            </w:r>
          </w:p>
        </w:tc>
        <w:tc>
          <w:tcPr>
            <w:tcW w:type="dxa" w:w="1337"/>
            <w:shd w:fill="EAEAEA"/>
          </w:tcPr>
          <w:p>
            <w:pPr>
              <w:spacing w:line="240" w:lineRule="auto" w:after="40" w:before="40"/>
            </w:pPr>
            <w:r>
              <w:rPr>
                <w:b/>
                <w:sz w:val="18"/>
              </w:rPr>
              <w:t>End</w:t>
            </w:r>
          </w:p>
        </w:tc>
        <w:tc>
          <w:tcPr>
            <w:tcW w:type="dxa" w:w="1337"/>
            <w:shd w:fill="EAEAEA"/>
          </w:tcPr>
          <w:p>
            <w:pPr>
              <w:spacing w:line="240" w:lineRule="auto" w:after="40" w:before="40"/>
            </w:pPr>
            <w:r>
              <w:rPr>
                <w:b/>
                <w:sz w:val="18"/>
              </w:rPr>
              <w:t>Duration (Yrs)</w:t>
            </w:r>
          </w:p>
        </w:tc>
        <w:tc>
          <w:tcPr>
            <w:tcW w:type="dxa" w:w="1337"/>
            <w:shd w:fill="EAEAEA"/>
          </w:tcPr>
          <w:p>
            <w:pPr>
              <w:spacing w:line="240" w:lineRule="auto" w:after="40" w:before="40"/>
            </w:pPr>
            <w:r>
              <w:rPr>
                <w:b/>
                <w:sz w:val="18"/>
              </w:rPr>
              <w:t>Status</w:t>
            </w:r>
          </w:p>
        </w:tc>
        <w:tc>
          <w:tcPr>
            <w:tcW w:type="dxa" w:w="1337"/>
            <w:shd w:fill="EAEAEA"/>
          </w:tcPr>
          <w:p>
            <w:pPr>
              <w:spacing w:line="240" w:lineRule="auto" w:after="40" w:before="40"/>
            </w:pPr>
            <w:r>
              <w:rPr>
                <w:b/>
                <w:sz w:val="18"/>
              </w:rPr>
              <w:t>Primary Institutional Mechanism</w:t>
            </w:r>
          </w:p>
        </w:tc>
      </w:tr>
      <w:tr>
        <w:tc>
          <w:tcPr>
            <w:tcW w:type="dxa" w:w="1337"/>
          </w:tcPr>
          <w:p>
            <w:pPr>
              <w:spacing w:line="240" w:lineRule="auto" w:after="40" w:before="40"/>
            </w:pPr>
            <w:r>
              <w:rPr>
                <w:sz w:val="17"/>
              </w:rPr>
              <w:t>Cambodia (UNTAC)</w:t>
            </w:r>
          </w:p>
        </w:tc>
        <w:tc>
          <w:tcPr>
            <w:tcW w:type="dxa" w:w="1337"/>
          </w:tcPr>
          <w:p>
            <w:pPr>
              <w:spacing w:line="240" w:lineRule="auto" w:after="40" w:before="40"/>
            </w:pPr>
            <w:r>
              <w:rPr>
                <w:sz w:val="17"/>
              </w:rPr>
              <w:t>Revived</w:t>
            </w:r>
          </w:p>
        </w:tc>
        <w:tc>
          <w:tcPr>
            <w:tcW w:type="dxa" w:w="1337"/>
          </w:tcPr>
          <w:p>
            <w:pPr>
              <w:spacing w:line="240" w:lineRule="auto" w:after="40" w:before="40"/>
            </w:pPr>
            <w:r>
              <w:rPr>
                <w:sz w:val="17"/>
              </w:rPr>
              <w:t>1992</w:t>
            </w:r>
          </w:p>
        </w:tc>
        <w:tc>
          <w:tcPr>
            <w:tcW w:type="dxa" w:w="1337"/>
          </w:tcPr>
          <w:p>
            <w:pPr>
              <w:spacing w:line="240" w:lineRule="auto" w:after="40" w:before="40"/>
            </w:pPr>
            <w:r>
              <w:rPr>
                <w:sz w:val="17"/>
              </w:rPr>
              <w:t>1993</w:t>
            </w:r>
          </w:p>
        </w:tc>
        <w:tc>
          <w:tcPr>
            <w:tcW w:type="dxa" w:w="1337"/>
          </w:tcPr>
          <w:p>
            <w:pPr>
              <w:spacing w:line="240" w:lineRule="auto" w:after="40" w:before="40"/>
            </w:pPr>
            <w:r>
              <w:rPr>
                <w:b/>
                <w:sz w:val="17"/>
              </w:rPr>
              <w:t>1.6</w:t>
            </w:r>
          </w:p>
        </w:tc>
        <w:tc>
          <w:tcPr>
            <w:tcW w:type="dxa" w:w="1337"/>
          </w:tcPr>
          <w:p>
            <w:pPr>
              <w:spacing w:line="240" w:lineRule="auto" w:after="40" w:before="40"/>
            </w:pPr>
            <w:r>
              <w:rPr>
                <w:sz w:val="17"/>
              </w:rPr>
              <w:t>Concluded</w:t>
            </w:r>
          </w:p>
        </w:tc>
        <w:tc>
          <w:tcPr>
            <w:tcW w:type="dxa" w:w="1337"/>
          </w:tcPr>
          <w:p>
            <w:pPr>
              <w:spacing w:line="240" w:lineRule="auto" w:after="40" w:before="40"/>
            </w:pPr>
            <w:r>
              <w:rPr>
                <w:sz w:val="17"/>
              </w:rPr>
              <w:t>Restoration of Sihanouk; rapid elections</w:t>
            </w:r>
          </w:p>
        </w:tc>
      </w:tr>
      <w:tr>
        <w:tc>
          <w:tcPr>
            <w:tcW w:type="dxa" w:w="1337"/>
          </w:tcPr>
          <w:p>
            <w:pPr>
              <w:spacing w:line="240" w:lineRule="auto" w:after="40" w:before="40"/>
            </w:pPr>
            <w:r>
              <w:rPr>
                <w:sz w:val="17"/>
              </w:rPr>
              <w:t>East Timor (UNTAET)</w:t>
            </w:r>
          </w:p>
        </w:tc>
        <w:tc>
          <w:tcPr>
            <w:tcW w:type="dxa" w:w="1337"/>
          </w:tcPr>
          <w:p>
            <w:pPr>
              <w:spacing w:line="240" w:lineRule="auto" w:after="40" w:before="40"/>
            </w:pPr>
            <w:r>
              <w:rPr>
                <w:sz w:val="17"/>
              </w:rPr>
              <w:t>Constructed</w:t>
            </w:r>
          </w:p>
        </w:tc>
        <w:tc>
          <w:tcPr>
            <w:tcW w:type="dxa" w:w="1337"/>
          </w:tcPr>
          <w:p>
            <w:pPr>
              <w:spacing w:line="240" w:lineRule="auto" w:after="40" w:before="40"/>
            </w:pPr>
            <w:r>
              <w:rPr>
                <w:sz w:val="17"/>
              </w:rPr>
              <w:t>1999</w:t>
            </w:r>
          </w:p>
        </w:tc>
        <w:tc>
          <w:tcPr>
            <w:tcW w:type="dxa" w:w="1337"/>
          </w:tcPr>
          <w:p>
            <w:pPr>
              <w:spacing w:line="240" w:lineRule="auto" w:after="40" w:before="40"/>
            </w:pPr>
            <w:r>
              <w:rPr>
                <w:sz w:val="17"/>
              </w:rPr>
              <w:t>2002</w:t>
            </w:r>
          </w:p>
        </w:tc>
        <w:tc>
          <w:tcPr>
            <w:tcW w:type="dxa" w:w="1337"/>
          </w:tcPr>
          <w:p>
            <w:pPr>
              <w:spacing w:line="240" w:lineRule="auto" w:after="40" w:before="40"/>
            </w:pPr>
            <w:r>
              <w:rPr>
                <w:b/>
                <w:sz w:val="17"/>
              </w:rPr>
              <w:t>2.6</w:t>
            </w:r>
          </w:p>
        </w:tc>
        <w:tc>
          <w:tcPr>
            <w:tcW w:type="dxa" w:w="1337"/>
          </w:tcPr>
          <w:p>
            <w:pPr>
              <w:spacing w:line="240" w:lineRule="auto" w:after="40" w:before="40"/>
            </w:pPr>
            <w:r>
              <w:rPr>
                <w:sz w:val="17"/>
              </w:rPr>
              <w:t>Concluded</w:t>
            </w:r>
          </w:p>
        </w:tc>
        <w:tc>
          <w:tcPr>
            <w:tcW w:type="dxa" w:w="1337"/>
          </w:tcPr>
          <w:p>
            <w:pPr>
              <w:spacing w:line="240" w:lineRule="auto" w:after="40" w:before="40"/>
            </w:pPr>
            <w:r>
              <w:rPr>
                <w:sz w:val="17"/>
              </w:rPr>
              <w:t>Full sovereign state-building to independence</w:t>
            </w:r>
          </w:p>
        </w:tc>
      </w:tr>
      <w:tr>
        <w:tc>
          <w:tcPr>
            <w:tcW w:type="dxa" w:w="1337"/>
          </w:tcPr>
          <w:p>
            <w:pPr>
              <w:spacing w:line="240" w:lineRule="auto" w:after="40" w:before="40"/>
            </w:pPr>
            <w:r>
              <w:rPr>
                <w:sz w:val="17"/>
              </w:rPr>
              <w:t>Japan (SCAP)</w:t>
            </w:r>
          </w:p>
        </w:tc>
        <w:tc>
          <w:tcPr>
            <w:tcW w:type="dxa" w:w="1337"/>
          </w:tcPr>
          <w:p>
            <w:pPr>
              <w:spacing w:line="240" w:lineRule="auto" w:after="40" w:before="40"/>
            </w:pPr>
            <w:r>
              <w:rPr>
                <w:sz w:val="17"/>
              </w:rPr>
              <w:t>Preserved</w:t>
            </w:r>
          </w:p>
        </w:tc>
        <w:tc>
          <w:tcPr>
            <w:tcW w:type="dxa" w:w="1337"/>
          </w:tcPr>
          <w:p>
            <w:pPr>
              <w:spacing w:line="240" w:lineRule="auto" w:after="40" w:before="40"/>
            </w:pPr>
            <w:r>
              <w:rPr>
                <w:sz w:val="17"/>
              </w:rPr>
              <w:t>1945</w:t>
            </w:r>
          </w:p>
        </w:tc>
        <w:tc>
          <w:tcPr>
            <w:tcW w:type="dxa" w:w="1337"/>
          </w:tcPr>
          <w:p>
            <w:pPr>
              <w:spacing w:line="240" w:lineRule="auto" w:after="40" w:before="40"/>
            </w:pPr>
            <w:r>
              <w:rPr>
                <w:sz w:val="17"/>
              </w:rPr>
              <w:t>1952</w:t>
            </w:r>
          </w:p>
        </w:tc>
        <w:tc>
          <w:tcPr>
            <w:tcW w:type="dxa" w:w="1337"/>
          </w:tcPr>
          <w:p>
            <w:pPr>
              <w:spacing w:line="240" w:lineRule="auto" w:after="40" w:before="40"/>
            </w:pPr>
            <w:r>
              <w:rPr>
                <w:b/>
                <w:sz w:val="17"/>
              </w:rPr>
              <w:t>7.0</w:t>
            </w:r>
          </w:p>
        </w:tc>
        <w:tc>
          <w:tcPr>
            <w:tcW w:type="dxa" w:w="1337"/>
          </w:tcPr>
          <w:p>
            <w:pPr>
              <w:spacing w:line="240" w:lineRule="auto" w:after="40" w:before="40"/>
            </w:pPr>
            <w:r>
              <w:rPr>
                <w:sz w:val="17"/>
              </w:rPr>
              <w:t>Concluded</w:t>
            </w:r>
          </w:p>
        </w:tc>
        <w:tc>
          <w:tcPr>
            <w:tcW w:type="dxa" w:w="1337"/>
          </w:tcPr>
          <w:p>
            <w:pPr>
              <w:spacing w:line="240" w:lineRule="auto" w:after="40" w:before="40"/>
            </w:pPr>
            <w:r>
              <w:rPr>
                <w:sz w:val="17"/>
              </w:rPr>
              <w:t>Allied rule through Emperor &amp; Diet bureaucracy</w:t>
            </w:r>
          </w:p>
        </w:tc>
      </w:tr>
      <w:tr>
        <w:tc>
          <w:tcPr>
            <w:tcW w:type="dxa" w:w="1337"/>
          </w:tcPr>
          <w:p>
            <w:pPr>
              <w:spacing w:line="240" w:lineRule="auto" w:after="40" w:before="40"/>
            </w:pPr>
            <w:r>
              <w:rPr>
                <w:sz w:val="17"/>
              </w:rPr>
              <w:t>Morocco (Protectorate)</w:t>
            </w:r>
          </w:p>
        </w:tc>
        <w:tc>
          <w:tcPr>
            <w:tcW w:type="dxa" w:w="1337"/>
          </w:tcPr>
          <w:p>
            <w:pPr>
              <w:spacing w:line="240" w:lineRule="auto" w:after="40" w:before="40"/>
            </w:pPr>
            <w:r>
              <w:rPr>
                <w:sz w:val="17"/>
              </w:rPr>
              <w:t>Preserved</w:t>
            </w:r>
          </w:p>
        </w:tc>
        <w:tc>
          <w:tcPr>
            <w:tcW w:type="dxa" w:w="1337"/>
          </w:tcPr>
          <w:p>
            <w:pPr>
              <w:spacing w:line="240" w:lineRule="auto" w:after="40" w:before="40"/>
            </w:pPr>
            <w:r>
              <w:rPr>
                <w:sz w:val="17"/>
              </w:rPr>
              <w:t>1912</w:t>
            </w:r>
          </w:p>
        </w:tc>
        <w:tc>
          <w:tcPr>
            <w:tcW w:type="dxa" w:w="1337"/>
          </w:tcPr>
          <w:p>
            <w:pPr>
              <w:spacing w:line="240" w:lineRule="auto" w:after="40" w:before="40"/>
            </w:pPr>
            <w:r>
              <w:rPr>
                <w:sz w:val="17"/>
              </w:rPr>
              <w:t>1956</w:t>
            </w:r>
          </w:p>
        </w:tc>
        <w:tc>
          <w:tcPr>
            <w:tcW w:type="dxa" w:w="1337"/>
          </w:tcPr>
          <w:p>
            <w:pPr>
              <w:spacing w:line="240" w:lineRule="auto" w:after="40" w:before="40"/>
            </w:pPr>
            <w:r>
              <w:rPr>
                <w:b/>
                <w:sz w:val="17"/>
              </w:rPr>
              <w:t>44.0</w:t>
            </w:r>
          </w:p>
        </w:tc>
        <w:tc>
          <w:tcPr>
            <w:tcW w:type="dxa" w:w="1337"/>
          </w:tcPr>
          <w:p>
            <w:pPr>
              <w:spacing w:line="240" w:lineRule="auto" w:after="40" w:before="40"/>
            </w:pPr>
            <w:r>
              <w:rPr>
                <w:sz w:val="17"/>
              </w:rPr>
              <w:t>Concluded</w:t>
            </w:r>
          </w:p>
        </w:tc>
        <w:tc>
          <w:tcPr>
            <w:tcW w:type="dxa" w:w="1337"/>
          </w:tcPr>
          <w:p>
            <w:pPr>
              <w:spacing w:line="240" w:lineRule="auto" w:after="40" w:before="40"/>
            </w:pPr>
            <w:r>
              <w:rPr>
                <w:sz w:val="17"/>
              </w:rPr>
              <w:t>Treaty of Fez preserving Alawite Sultanate</w:t>
            </w:r>
          </w:p>
        </w:tc>
      </w:tr>
      <w:tr>
        <w:tc>
          <w:tcPr>
            <w:tcW w:type="dxa" w:w="1337"/>
          </w:tcPr>
          <w:p>
            <w:pPr>
              <w:spacing w:line="240" w:lineRule="auto" w:after="40" w:before="40"/>
            </w:pPr>
            <w:r>
              <w:rPr>
                <w:sz w:val="17"/>
              </w:rPr>
              <w:t>Nigeria (Northern)</w:t>
            </w:r>
          </w:p>
        </w:tc>
        <w:tc>
          <w:tcPr>
            <w:tcW w:type="dxa" w:w="1337"/>
          </w:tcPr>
          <w:p>
            <w:pPr>
              <w:spacing w:line="240" w:lineRule="auto" w:after="40" w:before="40"/>
            </w:pPr>
            <w:r>
              <w:rPr>
                <w:sz w:val="17"/>
              </w:rPr>
              <w:t>Preserved</w:t>
            </w:r>
          </w:p>
        </w:tc>
        <w:tc>
          <w:tcPr>
            <w:tcW w:type="dxa" w:w="1337"/>
          </w:tcPr>
          <w:p>
            <w:pPr>
              <w:spacing w:line="240" w:lineRule="auto" w:after="40" w:before="40"/>
            </w:pPr>
            <w:r>
              <w:rPr>
                <w:sz w:val="17"/>
              </w:rPr>
              <w:t>1900</w:t>
            </w:r>
          </w:p>
        </w:tc>
        <w:tc>
          <w:tcPr>
            <w:tcW w:type="dxa" w:w="1337"/>
          </w:tcPr>
          <w:p>
            <w:pPr>
              <w:spacing w:line="240" w:lineRule="auto" w:after="40" w:before="40"/>
            </w:pPr>
            <w:r>
              <w:rPr>
                <w:sz w:val="17"/>
              </w:rPr>
              <w:t>1960</w:t>
            </w:r>
          </w:p>
        </w:tc>
        <w:tc>
          <w:tcPr>
            <w:tcW w:type="dxa" w:w="1337"/>
          </w:tcPr>
          <w:p>
            <w:pPr>
              <w:spacing w:line="240" w:lineRule="auto" w:after="40" w:before="40"/>
            </w:pPr>
            <w:r>
              <w:rPr>
                <w:b/>
                <w:sz w:val="17"/>
              </w:rPr>
              <w:t>60.0</w:t>
            </w:r>
          </w:p>
        </w:tc>
        <w:tc>
          <w:tcPr>
            <w:tcW w:type="dxa" w:w="1337"/>
          </w:tcPr>
          <w:p>
            <w:pPr>
              <w:spacing w:line="240" w:lineRule="auto" w:after="40" w:before="40"/>
            </w:pPr>
            <w:r>
              <w:rPr>
                <w:sz w:val="17"/>
              </w:rPr>
              <w:t>Concluded</w:t>
            </w:r>
          </w:p>
        </w:tc>
        <w:tc>
          <w:tcPr>
            <w:tcW w:type="dxa" w:w="1337"/>
          </w:tcPr>
          <w:p>
            <w:pPr>
              <w:spacing w:line="240" w:lineRule="auto" w:after="40" w:before="40"/>
            </w:pPr>
            <w:r>
              <w:rPr>
                <w:sz w:val="17"/>
              </w:rPr>
              <w:t>Lugardian indirect rule preserving Emirates</w:t>
            </w:r>
          </w:p>
        </w:tc>
      </w:tr>
      <w:tr>
        <w:tc>
          <w:tcPr>
            <w:tcW w:type="dxa" w:w="1337"/>
          </w:tcPr>
          <w:p>
            <w:pPr>
              <w:spacing w:line="240" w:lineRule="auto" w:after="40" w:before="40"/>
            </w:pPr>
            <w:r>
              <w:rPr>
                <w:sz w:val="17"/>
              </w:rPr>
              <w:t>Tunisia (Protectorate)</w:t>
            </w:r>
          </w:p>
        </w:tc>
        <w:tc>
          <w:tcPr>
            <w:tcW w:type="dxa" w:w="1337"/>
          </w:tcPr>
          <w:p>
            <w:pPr>
              <w:spacing w:line="240" w:lineRule="auto" w:after="40" w:before="40"/>
            </w:pPr>
            <w:r>
              <w:rPr>
                <w:sz w:val="17"/>
              </w:rPr>
              <w:t>Preserved</w:t>
            </w:r>
          </w:p>
        </w:tc>
        <w:tc>
          <w:tcPr>
            <w:tcW w:type="dxa" w:w="1337"/>
          </w:tcPr>
          <w:p>
            <w:pPr>
              <w:spacing w:line="240" w:lineRule="auto" w:after="40" w:before="40"/>
            </w:pPr>
            <w:r>
              <w:rPr>
                <w:sz w:val="17"/>
              </w:rPr>
              <w:t>1881</w:t>
            </w:r>
          </w:p>
        </w:tc>
        <w:tc>
          <w:tcPr>
            <w:tcW w:type="dxa" w:w="1337"/>
          </w:tcPr>
          <w:p>
            <w:pPr>
              <w:spacing w:line="240" w:lineRule="auto" w:after="40" w:before="40"/>
            </w:pPr>
            <w:r>
              <w:rPr>
                <w:sz w:val="17"/>
              </w:rPr>
              <w:t>1956</w:t>
            </w:r>
          </w:p>
        </w:tc>
        <w:tc>
          <w:tcPr>
            <w:tcW w:type="dxa" w:w="1337"/>
          </w:tcPr>
          <w:p>
            <w:pPr>
              <w:spacing w:line="240" w:lineRule="auto" w:after="40" w:before="40"/>
            </w:pPr>
            <w:r>
              <w:rPr>
                <w:b/>
                <w:sz w:val="17"/>
              </w:rPr>
              <w:t>75.0</w:t>
            </w:r>
          </w:p>
        </w:tc>
        <w:tc>
          <w:tcPr>
            <w:tcW w:type="dxa" w:w="1337"/>
          </w:tcPr>
          <w:p>
            <w:pPr>
              <w:spacing w:line="240" w:lineRule="auto" w:after="40" w:before="40"/>
            </w:pPr>
            <w:r>
              <w:rPr>
                <w:sz w:val="17"/>
              </w:rPr>
              <w:t>Concluded</w:t>
            </w:r>
          </w:p>
        </w:tc>
        <w:tc>
          <w:tcPr>
            <w:tcW w:type="dxa" w:w="1337"/>
          </w:tcPr>
          <w:p>
            <w:pPr>
              <w:spacing w:line="240" w:lineRule="auto" w:after="40" w:before="40"/>
            </w:pPr>
            <w:r>
              <w:rPr>
                <w:sz w:val="17"/>
              </w:rPr>
              <w:t>Treaty of Bardo preserving Husainid Beylik</w:t>
            </w:r>
          </w:p>
        </w:tc>
      </w:tr>
      <w:tr>
        <w:tc>
          <w:tcPr>
            <w:tcW w:type="dxa" w:w="1337"/>
          </w:tcPr>
          <w:p>
            <w:pPr>
              <w:spacing w:line="240" w:lineRule="auto" w:after="40" w:before="40"/>
            </w:pPr>
            <w:r>
              <w:rPr>
                <w:sz w:val="17"/>
              </w:rPr>
              <w:t>China (Yuan Dynasty)</w:t>
            </w:r>
          </w:p>
        </w:tc>
        <w:tc>
          <w:tcPr>
            <w:tcW w:type="dxa" w:w="1337"/>
          </w:tcPr>
          <w:p>
            <w:pPr>
              <w:spacing w:line="240" w:lineRule="auto" w:after="40" w:before="40"/>
            </w:pPr>
            <w:r>
              <w:rPr>
                <w:sz w:val="17"/>
              </w:rPr>
              <w:t>Preserved</w:t>
            </w:r>
          </w:p>
        </w:tc>
        <w:tc>
          <w:tcPr>
            <w:tcW w:type="dxa" w:w="1337"/>
          </w:tcPr>
          <w:p>
            <w:pPr>
              <w:spacing w:line="240" w:lineRule="auto" w:after="40" w:before="40"/>
            </w:pPr>
            <w:r>
              <w:rPr>
                <w:sz w:val="17"/>
              </w:rPr>
              <w:t>1234</w:t>
            </w:r>
          </w:p>
        </w:tc>
        <w:tc>
          <w:tcPr>
            <w:tcW w:type="dxa" w:w="1337"/>
          </w:tcPr>
          <w:p>
            <w:pPr>
              <w:spacing w:line="240" w:lineRule="auto" w:after="40" w:before="40"/>
            </w:pPr>
            <w:r>
              <w:rPr>
                <w:sz w:val="17"/>
              </w:rPr>
              <w:t>1368</w:t>
            </w:r>
          </w:p>
        </w:tc>
        <w:tc>
          <w:tcPr>
            <w:tcW w:type="dxa" w:w="1337"/>
          </w:tcPr>
          <w:p>
            <w:pPr>
              <w:spacing w:line="240" w:lineRule="auto" w:after="40" w:before="40"/>
            </w:pPr>
            <w:r>
              <w:rPr>
                <w:b/>
                <w:sz w:val="17"/>
              </w:rPr>
              <w:t>134.0</w:t>
            </w:r>
          </w:p>
        </w:tc>
        <w:tc>
          <w:tcPr>
            <w:tcW w:type="dxa" w:w="1337"/>
          </w:tcPr>
          <w:p>
            <w:pPr>
              <w:spacing w:line="240" w:lineRule="auto" w:after="40" w:before="40"/>
            </w:pPr>
            <w:r>
              <w:rPr>
                <w:sz w:val="17"/>
              </w:rPr>
              <w:t>Concluded</w:t>
            </w:r>
          </w:p>
        </w:tc>
        <w:tc>
          <w:tcPr>
            <w:tcW w:type="dxa" w:w="1337"/>
          </w:tcPr>
          <w:p>
            <w:pPr>
              <w:spacing w:line="240" w:lineRule="auto" w:after="40" w:before="40"/>
            </w:pPr>
            <w:r>
              <w:rPr>
                <w:sz w:val="17"/>
              </w:rPr>
              <w:t>Mongol rule using Song/Jin civil bureaucracy</w:t>
            </w:r>
          </w:p>
        </w:tc>
      </w:tr>
      <w:tr>
        <w:tc>
          <w:tcPr>
            <w:tcW w:type="dxa" w:w="1337"/>
          </w:tcPr>
          <w:p>
            <w:pPr>
              <w:spacing w:line="240" w:lineRule="auto" w:after="40" w:before="40"/>
            </w:pPr>
            <w:r>
              <w:rPr>
                <w:sz w:val="17"/>
              </w:rPr>
              <w:t>Vietnam (Tang Protectorate)</w:t>
            </w:r>
          </w:p>
        </w:tc>
        <w:tc>
          <w:tcPr>
            <w:tcW w:type="dxa" w:w="1337"/>
          </w:tcPr>
          <w:p>
            <w:pPr>
              <w:spacing w:line="240" w:lineRule="auto" w:after="40" w:before="40"/>
            </w:pPr>
            <w:r>
              <w:rPr>
                <w:sz w:val="17"/>
              </w:rPr>
              <w:t>Preserved</w:t>
            </w:r>
          </w:p>
        </w:tc>
        <w:tc>
          <w:tcPr>
            <w:tcW w:type="dxa" w:w="1337"/>
          </w:tcPr>
          <w:p>
            <w:pPr>
              <w:spacing w:line="240" w:lineRule="auto" w:after="40" w:before="40"/>
            </w:pPr>
            <w:r>
              <w:rPr>
                <w:sz w:val="17"/>
              </w:rPr>
              <w:t>679</w:t>
            </w:r>
          </w:p>
        </w:tc>
        <w:tc>
          <w:tcPr>
            <w:tcW w:type="dxa" w:w="1337"/>
          </w:tcPr>
          <w:p>
            <w:pPr>
              <w:spacing w:line="240" w:lineRule="auto" w:after="40" w:before="40"/>
            </w:pPr>
            <w:r>
              <w:rPr>
                <w:sz w:val="17"/>
              </w:rPr>
              <w:t>938</w:t>
            </w:r>
          </w:p>
        </w:tc>
        <w:tc>
          <w:tcPr>
            <w:tcW w:type="dxa" w:w="1337"/>
          </w:tcPr>
          <w:p>
            <w:pPr>
              <w:spacing w:line="240" w:lineRule="auto" w:after="40" w:before="40"/>
            </w:pPr>
            <w:r>
              <w:rPr>
                <w:b/>
                <w:sz w:val="17"/>
              </w:rPr>
              <w:t>259.0</w:t>
            </w:r>
          </w:p>
        </w:tc>
        <w:tc>
          <w:tcPr>
            <w:tcW w:type="dxa" w:w="1337"/>
          </w:tcPr>
          <w:p>
            <w:pPr>
              <w:spacing w:line="240" w:lineRule="auto" w:after="40" w:before="40"/>
            </w:pPr>
            <w:r>
              <w:rPr>
                <w:sz w:val="17"/>
              </w:rPr>
              <w:t>Concluded</w:t>
            </w:r>
          </w:p>
        </w:tc>
        <w:tc>
          <w:tcPr>
            <w:tcW w:type="dxa" w:w="1337"/>
          </w:tcPr>
          <w:p>
            <w:pPr>
              <w:spacing w:line="240" w:lineRule="auto" w:after="40" w:before="40"/>
            </w:pPr>
            <w:r>
              <w:rPr>
                <w:sz w:val="17"/>
              </w:rPr>
              <w:t>Annam Protectorate using indigenous Lac lords</w:t>
            </w:r>
          </w:p>
        </w:tc>
      </w:tr>
      <w:tr>
        <w:tc>
          <w:tcPr>
            <w:tcW w:type="dxa" w:w="1337"/>
          </w:tcPr>
          <w:p>
            <w:pPr>
              <w:spacing w:line="240" w:lineRule="auto" w:after="40" w:before="40"/>
            </w:pPr>
            <w:r>
              <w:rPr>
                <w:sz w:val="17"/>
              </w:rPr>
              <w:t>Kosovo (UNMIK)</w:t>
            </w:r>
          </w:p>
        </w:tc>
        <w:tc>
          <w:tcPr>
            <w:tcW w:type="dxa" w:w="1337"/>
          </w:tcPr>
          <w:p>
            <w:pPr>
              <w:spacing w:line="240" w:lineRule="auto" w:after="40" w:before="40"/>
            </w:pPr>
            <w:r>
              <w:rPr>
                <w:sz w:val="17"/>
              </w:rPr>
              <w:t>Constructed</w:t>
            </w:r>
          </w:p>
        </w:tc>
        <w:tc>
          <w:tcPr>
            <w:tcW w:type="dxa" w:w="1337"/>
          </w:tcPr>
          <w:p>
            <w:pPr>
              <w:spacing w:line="240" w:lineRule="auto" w:after="40" w:before="40"/>
            </w:pPr>
            <w:r>
              <w:rPr>
                <w:sz w:val="17"/>
              </w:rPr>
              <w:t>1999</w:t>
            </w:r>
          </w:p>
        </w:tc>
        <w:tc>
          <w:tcPr>
            <w:tcW w:type="dxa" w:w="1337"/>
          </w:tcPr>
          <w:p>
            <w:pPr>
              <w:spacing w:line="240" w:lineRule="auto" w:after="40" w:before="40"/>
            </w:pPr>
            <w:r>
              <w:rPr>
                <w:sz w:val="17"/>
              </w:rPr>
              <w:t>Active</w:t>
            </w:r>
          </w:p>
        </w:tc>
        <w:tc>
          <w:tcPr>
            <w:tcW w:type="dxa" w:w="1337"/>
          </w:tcPr>
          <w:p>
            <w:pPr>
              <w:spacing w:line="240" w:lineRule="auto" w:after="40" w:before="40"/>
            </w:pPr>
            <w:r>
              <w:rPr>
                <w:b/>
                <w:sz w:val="17"/>
              </w:rPr>
              <w:t>27.0+</w:t>
            </w:r>
          </w:p>
        </w:tc>
        <w:tc>
          <w:tcPr>
            <w:tcW w:type="dxa" w:w="1337"/>
          </w:tcPr>
          <w:p>
            <w:pPr>
              <w:spacing w:line="240" w:lineRule="auto" w:after="40" w:before="40"/>
            </w:pPr>
            <w:r>
              <w:rPr>
                <w:sz w:val="17"/>
              </w:rPr>
              <w:t>Right-Censored</w:t>
            </w:r>
          </w:p>
        </w:tc>
        <w:tc>
          <w:tcPr>
            <w:tcW w:type="dxa" w:w="1337"/>
          </w:tcPr>
          <w:p>
            <w:pPr>
              <w:spacing w:line="240" w:lineRule="auto" w:after="40" w:before="40"/>
            </w:pPr>
            <w:r>
              <w:rPr>
                <w:sz w:val="17"/>
              </w:rPr>
              <w:t>UNSCR 1244; procedural deadlock / Russian veto</w:t>
            </w:r>
          </w:p>
        </w:tc>
      </w:tr>
      <w:tr>
        <w:tc>
          <w:tcPr>
            <w:tcW w:type="dxa" w:w="1337"/>
          </w:tcPr>
          <w:p>
            <w:pPr>
              <w:spacing w:line="240" w:lineRule="auto" w:after="40" w:before="40"/>
            </w:pPr>
            <w:r>
              <w:rPr>
                <w:sz w:val="17"/>
              </w:rPr>
              <w:t>Bosnia and Herzegovina (OHR)</w:t>
            </w:r>
          </w:p>
        </w:tc>
        <w:tc>
          <w:tcPr>
            <w:tcW w:type="dxa" w:w="1337"/>
          </w:tcPr>
          <w:p>
            <w:pPr>
              <w:spacing w:line="240" w:lineRule="auto" w:after="40" w:before="40"/>
            </w:pPr>
            <w:r>
              <w:rPr>
                <w:sz w:val="17"/>
              </w:rPr>
              <w:t>Hybrid</w:t>
            </w:r>
          </w:p>
        </w:tc>
        <w:tc>
          <w:tcPr>
            <w:tcW w:type="dxa" w:w="1337"/>
          </w:tcPr>
          <w:p>
            <w:pPr>
              <w:spacing w:line="240" w:lineRule="auto" w:after="40" w:before="40"/>
            </w:pPr>
            <w:r>
              <w:rPr>
                <w:sz w:val="17"/>
              </w:rPr>
              <w:t>1995</w:t>
            </w:r>
          </w:p>
        </w:tc>
        <w:tc>
          <w:tcPr>
            <w:tcW w:type="dxa" w:w="1337"/>
          </w:tcPr>
          <w:p>
            <w:pPr>
              <w:spacing w:line="240" w:lineRule="auto" w:after="40" w:before="40"/>
            </w:pPr>
            <w:r>
              <w:rPr>
                <w:sz w:val="17"/>
              </w:rPr>
              <w:t>Active</w:t>
            </w:r>
          </w:p>
        </w:tc>
        <w:tc>
          <w:tcPr>
            <w:tcW w:type="dxa" w:w="1337"/>
          </w:tcPr>
          <w:p>
            <w:pPr>
              <w:spacing w:line="240" w:lineRule="auto" w:after="40" w:before="40"/>
            </w:pPr>
            <w:r>
              <w:rPr>
                <w:b/>
                <w:sz w:val="17"/>
              </w:rPr>
              <w:t>31.0+</w:t>
            </w:r>
          </w:p>
        </w:tc>
        <w:tc>
          <w:tcPr>
            <w:tcW w:type="dxa" w:w="1337"/>
          </w:tcPr>
          <w:p>
            <w:pPr>
              <w:spacing w:line="240" w:lineRule="auto" w:after="40" w:before="40"/>
            </w:pPr>
            <w:r>
              <w:rPr>
                <w:sz w:val="17"/>
              </w:rPr>
              <w:t>Right-Censored</w:t>
            </w:r>
          </w:p>
        </w:tc>
        <w:tc>
          <w:tcPr>
            <w:tcW w:type="dxa" w:w="1337"/>
          </w:tcPr>
          <w:p>
            <w:pPr>
              <w:spacing w:line="240" w:lineRule="auto" w:after="40" w:before="40"/>
            </w:pPr>
            <w:r>
              <w:rPr>
                <w:sz w:val="17"/>
              </w:rPr>
              <w:t>Dayton Annex 10; Bonn Powers arbitration</w:t>
            </w:r>
          </w:p>
        </w:tc>
      </w:tr>
    </w:tbl>
    <w:p>
      <w:pPr>
        <w:spacing w:after="120"/>
      </w:pPr>
    </w:p>
    <w:p>
      <w:r>
        <w:t>From the empirical execution of scripts/duration_analysis.py, the concluded historical distribution (N=8) yields a median duration of 52.0 years (mean: 72.9 years, range: 1.6 to 259.0 years).</w:t>
      </w:r>
    </w:p>
    <w:p>
      <w:r>
        <w:t>Analytical Inferences Under Right-Censoring:</w:t>
        <w:br/>
        <w:t>1. Outlasting Transitional Benchmarks: Both Bosnia (31.0+ years) and Kosovo (27.0+ years) have outlasted by an order of magnitude all three short concluded transitional occupations (Cambodia 1.6y, East Timor 2.6y, SCAP Japan 7.0y). They can no longer be characterized as temporary post-conflict stabilization missions.</w:t>
        <w:br/>
        <w:t>2. Subordinate to Preserved-Authority Lifespans: Both active regimes remain shorter than five of the six historical preserved-authority regimes (Morocco 44y, Nigeria 60y, Tunisia 75y, Yuan 134y, Tang 259y).</w:t>
        <w:br/>
        <w:t>3. Methodological Rigor &amp; Censoring Caveat: Duration comparison proves conclusively that international administrations in contested territories do not follow the rapid exit trajectories of simple transitional mandates. However, duration analysis under right-censoring establishes neither the mechanism of eventual termination nor guarantees that these regimes will reach the multi-generational endurance of imperial protectorates.</w:t>
      </w:r>
    </w:p>
    <w:p>
      <w:pPr>
        <w:keepNext/>
        <w:spacing w:before="280" w:after="120"/>
      </w:pPr>
      <w:r>
        <w:rPr>
          <w:b/>
          <w:color w:val="111111"/>
          <w:sz w:val="28"/>
        </w:rPr>
        <w:t>3. Module B: Deep Comparative Case Studies</w:t>
      </w:r>
    </w:p>
    <w:p>
      <w:pPr>
        <w:keepNext/>
        <w:spacing w:before="280" w:after="120"/>
      </w:pPr>
      <w:r>
        <w:rPr>
          <w:b/>
          <w:color w:val="333333"/>
          <w:sz w:val="24"/>
        </w:rPr>
        <w:t>Case 1: Kosovo (UNMIK) — The Mechanism of Procedural Right-Censoring</w:t>
      </w:r>
    </w:p>
    <w:p>
      <w:r>
        <w:t>The United Nations Interim Administration Mission in Kosovo (UNMIK), established under UN Security Council Resolution 1244 (June 1999), represents the archetype of Constructed Authority under Procedural Right-Censoring. Following NATO's intervention and the complete withdrawal of Yugoslav forces, UNMIK assumed plenary executive, legislative, and judicial sovereignty. Under Special Representative Bernard Kouchner, UNMIK established the Joint Interim Administrative Structure and oversaw the promulgation of the Constitutional Framework for Provisional Self-Government (2001).</w:t>
      </w:r>
    </w:p>
    <w:p>
      <w:r>
        <w:t>The crucial institutional pivot occurred in February 2008, when the Assembly of Kosovo unilaterally declared independence, followed by the deployment of the EU Rule of Law Mission (EULEX). Domestically, authority was successfully transferred to the sovereign Republic of Kosovo, culminating in the end of 'supervised independence' in 2012. Yet, eighteen years later, UNMIK remains legally active (27.0+ years). Why? Because UNSCR 1244 can only be formally superseded through a new Security Council resolution, where the Russian Federation maintains an active veto. Consequently, UNMIK persists as a low-footprint, symbolic mission solely due to geopolitical deadlock in New York. The institution has substantively concluded on the ground, but remains procedurally immortalized at the systemic level.</w:t>
      </w:r>
    </w:p>
    <w:p>
      <w:pPr>
        <w:keepNext/>
        <w:spacing w:before="280" w:after="120"/>
      </w:pPr>
      <w:r>
        <w:rPr>
          <w:b/>
          <w:color w:val="333333"/>
          <w:sz w:val="24"/>
        </w:rPr>
        <w:t>Case 2: Bosnia and Herzegovina (OHR) — The Mechanism of Substantive Right-Censoring</w:t>
      </w:r>
    </w:p>
    <w:p>
      <w:r>
        <w:t>In stark contrast to Kosovo, the persistence of the Office of the High Representative (OHR) in Bosnia and Herzegovina (31.0+ years) represents Substantive Right-Censoring, where the external arbitrator remains actively and indispensably enmeshed in the daily constitutional survival of the state. Created under Annex 10 of the 1995 Dayton Accords, the OHR was dramatically expanded in December 1997 through the Bonn Powers, authorizing the High Representative to unilaterally impose binding legislation and summarily dismiss obstructionist elected officials.</w:t>
      </w:r>
    </w:p>
    <w:p>
      <w:r>
        <w:t>Over three decades, successive High Representatives used the Bonn Powers to create the central state from above—imposing the national flag, unified currency (Convertible Mark), and unified armed forces (OSBiH). However, this created the Consociational Trap: local political elites adapted their strategies to the presence of the external arbitrator, maximizing nationalist rhetoric and relying on the High Representative to impose necessary compromises. Removing the OHR without complete constitutional reform risks triggering immediate secessionist moves by Republika Srpska. Thus, the OHR cannot exit because its own presence is the indispensable keystone holding the Dayton equilibrium together.</w:t>
      </w:r>
    </w:p>
    <w:p>
      <w:pPr>
        <w:keepNext/>
        <w:spacing w:before="280" w:after="120"/>
      </w:pPr>
      <w:r>
        <w:rPr>
          <w:b/>
          <w:color w:val="333333"/>
          <w:sz w:val="24"/>
        </w:rPr>
        <w:t>Case 3: Cambodia (UNTAC) — Revived Royal Legitimacy and Rapid Exit</w:t>
      </w:r>
    </w:p>
    <w:p>
      <w:r>
        <w:t>The United Nations Transitional Authority in Cambodia (UNTAC, 1992–1993; 1.6 years) stands as the clearest historical example of Revived Authority. Under the 1991 Paris Peace Agreements, four warring factions agreed to place administrative sovereignty over key sectors under UN control. UNTAC organized democratic elections in May 1993 with an 89.6% voter turnout. The decisive factor enabling UNTAC's rapid exit was Prince Norodom Sihanouk. Sihanouk possessed an unassailable traditional legitimacy rooted in centuries of Khmer kingship. By chairing the Supreme National Council (SNC), Sihanouk provided the immediate domestic container to absorb sovereign authority, allowing UNTAC to dissolve immediately upon the promulgation of the new constitution.</w:t>
      </w:r>
    </w:p>
    <w:p>
      <w:pPr>
        <w:keepNext/>
        <w:spacing w:before="280" w:after="120"/>
      </w:pPr>
      <w:r>
        <w:rPr>
          <w:b/>
          <w:color w:val="333333"/>
          <w:sz w:val="24"/>
        </w:rPr>
        <w:t>Case 4: East Timor (UNTAET) — Constructed Tabula Rasa and Sovereign Devolution</w:t>
      </w:r>
    </w:p>
    <w:p>
      <w:r>
        <w:t>The United Nations Transitional Administration in East Timor (UNTAET, 1999–2002; 2.6 years) illustrates that Constructed Authority can achieve rapid exit when national identity and territorial sovereignty are uncontested from within. Following the destruction of 70% of physical infrastructure by retreating Indonesian militias, UNTAET (under Sérgio Vieira de Mello) co-governed with the National Council of Timorese Resistance (CNRT) led by Xanana Gusmão. Because East Timor possessed high linguistic-cultural cohesion and an unambiguous popular mandate for independence, UNTAET successfully built state institutions from tabula rasa and devolved full sovereignty in May 2002.</w:t>
      </w:r>
    </w:p>
    <w:p>
      <w:pPr>
        <w:keepNext/>
        <w:spacing w:before="280" w:after="120"/>
      </w:pPr>
      <w:r>
        <w:rPr>
          <w:b/>
          <w:color w:val="111111"/>
          <w:sz w:val="28"/>
        </w:rPr>
        <w:t>4. Synthesis: The Structural Trap of Constructed Governance</w:t>
      </w:r>
    </w:p>
    <w:p>
      <w:r>
        <w:t>Comparing these four cases with our historical database reveals the fundamental theoretical mechanism governing the endurance of borrowed legitimacy arrangements:</w:t>
        <w:br/>
        <w:br/>
        <w:t>1. The Preservation Principle: When external rulers preserve and co-opt an intact traditional hierarchy (Emirs, Sultans, Dynastic Bureaus), the arrangement can endure for decades or centuries (44 to 259 years) because the costs of routine social control are borne entirely by indigenous authorities.</w:t>
        <w:br/>
        <w:t>2. The Restoration Principle: When an external transitional authority can revive an exiled or dormant traditional monarchical authority (Cambodia), state-building achieves rapid closure (&lt;2 years) because political legitimacy does not need to be engineered from above.</w:t>
        <w:br/>
        <w:t>3. The Consociational Trap: When external powers attempt to construct a shared democratic order over fiercely contested, multi-ethnic jurisdictions without a unified national identity (Bosnia, Kosovo), the international mandate becomes an indispensable structural component of the constitution. Removing the external arbiter threatens immediate systemic collapse, converting temporary international mandates into permanent institutional features of the state.</w:t>
      </w:r>
    </w:p>
    <w:p>
      <w:pPr>
        <w:keepNext/>
        <w:spacing w:before="280" w:after="120"/>
      </w:pPr>
      <w:r>
        <w:rPr>
          <w:b/>
          <w:color w:val="111111"/>
          <w:sz w:val="28"/>
        </w:rPr>
        <w:t>5. References</w:t>
      </w:r>
    </w:p>
    <w:p>
      <w:pPr>
        <w:spacing w:after="80"/>
        <w:ind w:left="720" w:hanging="720"/>
      </w:pPr>
      <w:r>
        <w:rPr>
          <w:sz w:val="19"/>
        </w:rPr>
        <w:t>Bieber, Florian (2006). Post-War Bosnia: Ethnicity, Inequality and Public Sector Governance. London: Palgrave Macmillan.</w:t>
      </w:r>
    </w:p>
    <w:p>
      <w:pPr>
        <w:spacing w:after="80"/>
        <w:ind w:left="720" w:hanging="720"/>
      </w:pPr>
      <w:r>
        <w:rPr>
          <w:sz w:val="19"/>
        </w:rPr>
        <w:t>Braund, David (1984). Rome and the Friendly King: The Character of the Client Kingship. London: Croom Helm.</w:t>
      </w:r>
    </w:p>
    <w:p>
      <w:pPr>
        <w:spacing w:after="80"/>
        <w:ind w:left="720" w:hanging="720"/>
      </w:pPr>
      <w:r>
        <w:rPr>
          <w:sz w:val="19"/>
        </w:rPr>
        <w:t>Caplan, Richard (2005). International Governance of War-Torn Territories: Rule and Reconstruction. Oxford: Oxford University Press.</w:t>
      </w:r>
    </w:p>
    <w:p>
      <w:pPr>
        <w:spacing w:after="80"/>
        <w:ind w:left="720" w:hanging="720"/>
      </w:pPr>
      <w:r>
        <w:rPr>
          <w:sz w:val="19"/>
        </w:rPr>
        <w:t>Chandler, David (2000). Bosnia: Faking Democracy After Dayton. London: Pluto Press.</w:t>
      </w:r>
    </w:p>
    <w:p>
      <w:pPr>
        <w:spacing w:after="80"/>
        <w:ind w:left="720" w:hanging="720"/>
      </w:pPr>
      <w:r>
        <w:rPr>
          <w:sz w:val="19"/>
        </w:rPr>
        <w:t>Chesterman, Simon (2004). You, the People: The United Nations, Transitional Administration, and State-Building. Oxford: Oxford University Press.</w:t>
      </w:r>
    </w:p>
    <w:p>
      <w:pPr>
        <w:spacing w:after="80"/>
        <w:ind w:left="720" w:hanging="720"/>
      </w:pPr>
      <w:r>
        <w:rPr>
          <w:sz w:val="19"/>
        </w:rPr>
        <w:t>Chopra, Jarat (2000). 'The UN's Kingdom of East Timor.' Survival, 42(3), 27–39.</w:t>
      </w:r>
    </w:p>
    <w:p>
      <w:pPr>
        <w:spacing w:after="80"/>
        <w:ind w:left="720" w:hanging="720"/>
      </w:pPr>
      <w:r>
        <w:rPr>
          <w:sz w:val="19"/>
        </w:rPr>
        <w:t>Copland, Ian (1997). The Princes of India in the Endgame of Empire, 1917–1947. Cambridge: Cambridge University Press.</w:t>
      </w:r>
    </w:p>
    <w:p>
      <w:pPr>
        <w:spacing w:after="80"/>
        <w:ind w:left="720" w:hanging="720"/>
      </w:pPr>
      <w:r>
        <w:rPr>
          <w:sz w:val="19"/>
        </w:rPr>
        <w:t>Doyle, Michael W., &amp; Sambanis, Nicholas (2006). Making War and Building Peace: United Nations Peace Operations. Princeton: Princeton University Press.</w:t>
      </w:r>
    </w:p>
    <w:p>
      <w:pPr>
        <w:spacing w:after="80"/>
        <w:ind w:left="720" w:hanging="720"/>
      </w:pPr>
      <w:r>
        <w:rPr>
          <w:sz w:val="19"/>
        </w:rPr>
        <w:t>Findlay, Trevor (1995). Cambodia: The Legacy and Lessons of UNTAC. Oxford: Oxford University Press.</w:t>
      </w:r>
    </w:p>
    <w:p>
      <w:pPr>
        <w:spacing w:after="80"/>
        <w:ind w:left="720" w:hanging="720"/>
      </w:pPr>
      <w:r>
        <w:rPr>
          <w:sz w:val="19"/>
        </w:rPr>
        <w:t>Lange, Matthew (2004). 'British Colonial Legacies and Political Development.' World Development, 32(6), 905–922.</w:t>
      </w:r>
    </w:p>
    <w:p>
      <w:pPr>
        <w:spacing w:after="80"/>
        <w:ind w:left="720" w:hanging="720"/>
      </w:pPr>
      <w:r>
        <w:rPr>
          <w:sz w:val="19"/>
        </w:rPr>
        <w:t>Lange, Matthew (2009). Lineages of Despotism and Development: British Colonialism and State Power. Chicago: University of Chicago Press.</w:t>
      </w:r>
    </w:p>
    <w:p>
      <w:pPr>
        <w:spacing w:after="80"/>
        <w:ind w:left="720" w:hanging="720"/>
      </w:pPr>
      <w:r>
        <w:rPr>
          <w:sz w:val="19"/>
        </w:rPr>
        <w:t>Lugard, Lord Frederick (1922). The Dual Mandate in British Tropical Africa. Edinburgh: William Blackwood and Sons.</w:t>
      </w:r>
    </w:p>
    <w:p>
      <w:pPr>
        <w:spacing w:after="80"/>
        <w:ind w:left="720" w:hanging="720"/>
      </w:pPr>
      <w:r>
        <w:rPr>
          <w:sz w:val="19"/>
        </w:rPr>
        <w:t>Mazzuca, Sebastián L. (2021). Latecomer State Formation: Political Paths Towards Economic Growth. New Haven: Yale University Press.</w:t>
      </w:r>
    </w:p>
    <w:p>
      <w:pPr>
        <w:spacing w:after="80"/>
        <w:ind w:left="720" w:hanging="720"/>
      </w:pPr>
      <w:r>
        <w:rPr>
          <w:sz w:val="19"/>
        </w:rPr>
        <w:t>Menon, V. P. (1956). The Story of the Integration of the Indian States. London: Longmans, Green and Co.</w:t>
      </w:r>
    </w:p>
    <w:p>
      <w:pPr>
        <w:spacing w:after="80"/>
        <w:ind w:left="720" w:hanging="720"/>
      </w:pPr>
      <w:r>
        <w:rPr>
          <w:sz w:val="19"/>
        </w:rPr>
        <w:t>Ragin, Charles C. (1987). The Comparative Method: Moving Beyond Qualitative and Quantitative Strategies. Berkeley: University of California Press.</w:t>
      </w:r>
    </w:p>
    <w:p>
      <w:pPr>
        <w:spacing w:after="80"/>
        <w:ind w:left="720" w:hanging="720"/>
      </w:pPr>
      <w:r>
        <w:rPr>
          <w:sz w:val="19"/>
        </w:rPr>
        <w:t>Wilde, Ralph (2008). International Territorial Administration: How Trusteeship and the Civilizing Mission Never Went Away. Oxford: Oxford University Press.</w:t>
      </w:r>
    </w:p>
    <w:p>
      <w:pPr>
        <w:spacing w:after="80"/>
        <w:ind w:left="720" w:hanging="720"/>
      </w:pPr>
      <w:r>
        <w:rPr>
          <w:sz w:val="19"/>
        </w:rPr>
        <w:t>Young, Crawford (1994). The African Colonial State in Comparative Perspective. New Haven: Yale University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