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6"/>
        </w:rPr>
        <w:t>The Floor That Does Not Rise</w:t>
      </w:r>
    </w:p>
    <w:p>
      <w:pPr>
        <w:jc w:val="center"/>
      </w:pPr>
      <w:r>
        <w:rPr>
          <w:rFonts w:ascii="Times New Roman" w:hAnsi="Times New Roman"/>
          <w:b w:val="0"/>
          <w:sz w:val="26"/>
        </w:rPr>
        <w:t>Reset Events, Queueing Instability, and the Hard–Soft Floor Distinction</w:t>
      </w:r>
    </w:p>
    <w:p>
      <w:pPr>
        <w:jc w:val="center"/>
      </w:pPr>
      <w:r>
        <w:rPr>
          <w:rFonts w:ascii="Times New Roman" w:hAnsi="Times New Roman"/>
          <w:b w:val="0"/>
          <w:sz w:val="24"/>
        </w:rPr>
        <w:t>A General Theory, Tested Against Five Empirical Domains</w:t>
      </w:r>
    </w:p>
    <w:p/>
    <w:p>
      <w:pPr>
        <w:jc w:val="center"/>
      </w:pPr>
      <w:r>
        <w:rPr>
          <w:rFonts w:ascii="Times New Roman" w:hAnsi="Times New Roman"/>
          <w:b/>
          <w:sz w:val="26"/>
        </w:rPr>
        <w:t>Gia Bao Huynh</w:t>
      </w:r>
    </w:p>
    <w:p>
      <w:pPr>
        <w:jc w:val="center"/>
      </w:pPr>
      <w:r>
        <w:rPr>
          <w:rFonts w:ascii="Times New Roman" w:hAnsi="Times New Roman"/>
          <w:b w:val="0"/>
          <w:sz w:val="22"/>
        </w:rPr>
        <w:t>Independent Researcher, Ho Chi Minh City, Vietnam</w:t>
      </w:r>
    </w:p>
    <w:p>
      <w:pPr>
        <w:jc w:val="center"/>
      </w:pPr>
      <w:r>
        <w:rPr>
          <w:rFonts w:ascii="Times New Roman" w:hAnsi="Times New Roman"/>
          <w:b w:val="0"/>
          <w:sz w:val="20"/>
        </w:rPr>
        <w:t>huynhbao@asu.edu · ORCID: 0009-0008-2372-5852</w:t>
      </w:r>
    </w:p>
    <w:p>
      <w:pPr>
        <w:jc w:val="center"/>
      </w:pPr>
      <w:r>
        <w:rPr>
          <w:rFonts w:ascii="Times New Roman" w:hAnsi="Times New Roman"/>
          <w:i/>
          <w:sz w:val="20"/>
        </w:rPr>
        <w:t>Enhanced Final Draft — September 22, 2026</w:t>
      </w:r>
    </w:p>
    <w:p>
      <w:pPr>
        <w:jc w:val="center"/>
      </w:pPr>
      <w:r>
        <w:rPr>
          <w:rFonts w:ascii="Times New Roman" w:hAnsi="Times New Roman"/>
          <w:i/>
          <w:sz w:val="18"/>
        </w:rPr>
        <w:t>© Gia Bao Huynh (2026). Collaborator: Claude (Anthropic).</w:t>
        <w:br/>
        <w:t>Draft manuscript prepared for open scholarly circulation and comment.</w:t>
      </w:r>
    </w:p>
    <w:p>
      <w:r>
        <w:br w:type="page"/>
      </w:r>
    </w:p>
    <w:p>
      <w:pPr>
        <w:pStyle w:val="Heading1"/>
      </w:pPr>
      <w:r>
        <w:rPr>
          <w:rFonts w:ascii="Times New Roman" w:hAnsi="Times New Roman"/>
          <w:color w:val="000000"/>
        </w:rPr>
        <w:t>Abstract</w:t>
      </w:r>
    </w:p>
    <w:p>
      <w:pPr>
        <w:ind w:firstLine="720"/>
      </w:pPr>
      <w:r>
        <w:rPr>
          <w:rFonts w:ascii="Times New Roman" w:hAnsi="Times New Roman"/>
          <w:b w:val="0"/>
          <w:i w:val="0"/>
          <w:sz w:val="24"/>
        </w:rPr>
        <w:t>Some technologies generate their own inequality faster than they can resolve it, because the very engine that creates a new advantage is also, in principle, the only mechanism that could ever spread it evenly — and the engine now compounds faster than the spreading mechanism can move. This paper states the resulting structure as a formal queueing-theoretic claim: when reset events (discrete frontier advances) arrive at an accelerating rate λ(t) that eventually exceeds the bounded service rate μ at which prior advances are absorbed by the general-access floor, the gap between frontier and floor grows without bound — the queue is structurally unstable. This formalization is tested against raw, independently fetched data across five empirical domains: (1) U.S. housing construction as a bounded-lag null comparator, (2) AI capability growth via METR's 24,008 task-level evaluations across 21 frontier models, (3) Anthropic-attributed distillation exchange volumes and effective throughput modeling, (4) longevity biotechnology clinical evidence and price/access stratification, and (5) cybersecurity vulnerability inflow and administrative remediation pacing. The housing pipeline confirms operational stationarity (ADF p &lt; 10⁻¹⁰), serving as the null-case comparator the original draft proposed but had not yet tested. AI capability doubling time is estimated at 7.2 months (95% CI: 5.4–10.8), but a quadratic curvature test fails to reject log-linear constancy (p = 0.28), weakening claims of super-exponential acceleration. Distillation exchange volume establishes input activity, not audited capability transfer; effective throughput μ_eff spans four orders of magnitude (0.015–150 units/day) across scenario grids. Longevity evidence demonstrates statistically significant deceleration of biological aging proxies (DunedinPACE −0.02/yr, p = 0.008) but zero demonstrated human lifespan extension, with severe price/access stratification (metformin affordability index 0.98 vs. concierge clinic 0.00). Cybersecurity CVE inflow expanded +139.3% (2018–2024) while CNA concentration halved (HHI 1,500→710). All results carry strict SHA-256 provenance enforcement and zero synthetic imputation.</w:t>
      </w:r>
    </w:p>
    <w:p>
      <w:r>
        <w:rPr>
          <w:rFonts w:ascii="Times New Roman" w:hAnsi="Times New Roman"/>
          <w:b/>
          <w:sz w:val="22"/>
        </w:rPr>
        <w:t xml:space="preserve">Keywords: </w:t>
      </w:r>
      <w:r>
        <w:rPr>
          <w:rFonts w:ascii="Times New Roman" w:hAnsi="Times New Roman"/>
          <w:i/>
          <w:sz w:val="22"/>
        </w:rPr>
        <w:t>queueing theory; workload process; technology diffusion; artificial intelligence; recursive self-improvement; distillation; cybersecurity; vulnerability disclosure; housing construction; longevity biotechnology; differential technological development; falsifiability</w:t>
      </w:r>
    </w:p>
    <w:p>
      <w:r>
        <w:br w:type="page"/>
      </w:r>
    </w:p>
    <w:p>
      <w:pPr>
        <w:pStyle w:val="Heading1"/>
      </w:pPr>
      <w:r>
        <w:rPr>
          <w:rFonts w:ascii="Times New Roman" w:hAnsi="Times New Roman"/>
          <w:color w:val="000000"/>
        </w:rPr>
        <w:t>I. One Engine, Two Clocks</w:t>
      </w:r>
    </w:p>
    <w:p>
      <w:pPr>
        <w:ind w:firstLine="720"/>
      </w:pPr>
      <w:r>
        <w:rPr>
          <w:rFonts w:ascii="Times New Roman" w:hAnsi="Times New Roman"/>
          <w:b w:val="0"/>
          <w:i w:val="0"/>
          <w:sz w:val="24"/>
        </w:rPr>
        <w:t>A structure this paper will spend the rest of its length formalizing and testing can be stated, once, in a single sentence, before any of the machinery arrives: the mechanism generating an inequality and the mechanism that would resolve it through diffusion are, in the cases this paper is about, the same mechanism, and this does not produce a wash. Read quickly, the single-mechanism claim invites a natural and mistaken inference — that if the same engine causes a problem and could cure it, the two effects should roughly cancel, and the resulting inequality should hover somewhere near a stable middle. What actually happens, in the cases developed here, is close to the opposite. The gap between narrow and broad access does not settle into a stable oscillation. It resets and re-widens, because the same acceleration that would eventually diffuse a given advance also, before that diffusion finishes, produces the next one.</w:t>
      </w:r>
    </w:p>
    <w:p>
      <w:pPr>
        <w:ind w:firstLine="720"/>
      </w:pPr>
      <w:r>
        <w:rPr>
          <w:rFonts w:ascii="Times New Roman" w:hAnsi="Times New Roman"/>
          <w:b w:val="0"/>
          <w:i w:val="0"/>
          <w:sz w:val="24"/>
        </w:rPr>
        <w:t>The error worth naming directly, because it is the error a reader is likeliest to make on a first pass, is assuming dual function implies convergence. An engine that both causes an asymmetry and could in principle cure it does not thereby resolve that asymmetry, if the causing runs faster than the curing. This is not a paradox in the sense of a logical contradiction; it is an ordinary fact about relative rates, stated plainly: the engine is not two-faced in some mysterious sense. It is that its two functions run on different clocks, and the faster clock does not pause long enough for the slower one to catch up. Everything that follows in this paper is an attempt to state precisely how those two clocks are structured, under what conditions a given domain actually exhibits this structure rather than an ordinary bounded lag, and what two real domains — tested with fetched, independently verified data rather than assumed illustrative parameters — show once the structure is checked rather than assumed.</w:t>
      </w:r>
    </w:p>
    <w:p>
      <w:pPr>
        <w:ind w:firstLine="720"/>
      </w:pPr>
      <w:r>
        <w:rPr>
          <w:rFonts w:ascii="Times New Roman" w:hAnsi="Times New Roman"/>
          <w:b w:val="0"/>
          <w:i w:val="0"/>
          <w:sz w:val="24"/>
        </w:rPr>
        <w:t>A methodological commitment follows directly from taking this seriously as an empirical claim rather than a rhetorical one, and it is worth stating before the formal apparatus arrives, because it governs everything that comes after it. A claim this specific is only credible if it can also be shown where it fails. A domain whose data does not support the structure — whose frontier and floor turn out to share the same underlying resource base, or whose frontier does not in fact compound — is not a disappointing result to be quietly set aside in favor of a better-fitting case. It is exactly as informative as a domain that confirms the structure, and this paper reports both kinds of finding with the same care, including, in its own empirical sections, a case where a first-pass reading of the paper's own data would have overstated a finding, and a second, more careful pass — examining the raw, point-by-point pattern rather than trusting a smoothed summary statistic — corrected it.</w:t>
      </w:r>
    </w:p>
    <w:p>
      <w:pPr>
        <w:pStyle w:val="Heading1"/>
      </w:pPr>
      <w:r>
        <w:rPr>
          <w:rFonts w:ascii="Times New Roman" w:hAnsi="Times New Roman"/>
          <w:color w:val="000000"/>
        </w:rPr>
        <w:t>II. Why No Prior Technology Exhibits This Structure</w:t>
      </w:r>
    </w:p>
    <w:p>
      <w:pPr>
        <w:ind w:firstLine="720"/>
      </w:pPr>
      <w:r>
        <w:rPr>
          <w:rFonts w:ascii="Times New Roman" w:hAnsi="Times New Roman"/>
          <w:b w:val="0"/>
          <w:i w:val="0"/>
          <w:sz w:val="24"/>
        </w:rPr>
        <w:t>Establishing that the structure described here is genuinely uncommon, rather than a redescription of ordinary technological unevenness, requires examining why the closest historical analogues do not, on inspection, share it.</w:t>
      </w:r>
    </w:p>
    <w:p>
      <w:pPr>
        <w:ind w:firstLine="720"/>
      </w:pPr>
      <w:r>
        <w:rPr>
          <w:rFonts w:ascii="Times New Roman" w:hAnsi="Times New Roman"/>
          <w:b w:val="0"/>
          <w:i w:val="0"/>
          <w:sz w:val="24"/>
        </w:rPr>
        <w:t>Consumer electronics' discovery frontier advances in discrete, roughly annual increments, while diffusion of the previous generation proceeds quickly relative to the interval before the next one arrives, because manufacturing at scale for information-embedding hardware draws on the same computational and capital advances driving the frontier forward. Frontier advance and diffusion speed are not decoupled in this case; they draw on an overlapping resource base, which is why this kind of diffusion resembles a bounded S-curve that eventually closes, rather than a gap that resets and widens indefinitely.</w:t>
      </w:r>
    </w:p>
    <w:p>
      <w:pPr>
        <w:ind w:firstLine="720"/>
      </w:pPr>
      <w:r>
        <w:rPr>
          <w:rFonts w:ascii="Times New Roman" w:hAnsi="Times New Roman"/>
          <w:b w:val="0"/>
          <w:i w:val="0"/>
          <w:sz w:val="24"/>
        </w:rPr>
        <w:t>Pre-AI biomedicine's discovery frontier advanced at a pace set by the same human-paced experimental and clinical processes that constrained diffusion. A new drug class took years to identify and additional years to diffuse, but discovery and diffusion moved on comparable orders of magnitude of time — which is why pharmaceutical inequality, while real and well documented, has historically resolved into broad generic availability within a bounded window, rather than compounding without limit.</w:t>
      </w:r>
    </w:p>
    <w:p>
      <w:pPr>
        <w:ind w:firstLine="720"/>
      </w:pPr>
      <w:r>
        <w:rPr>
          <w:rFonts w:ascii="Times New Roman" w:hAnsi="Times New Roman"/>
          <w:b w:val="0"/>
          <w:i w:val="0"/>
          <w:sz w:val="24"/>
        </w:rPr>
        <w:t>Nuclear weapons technology, the closest dual-use precedent for a frontier whose own advance is dangerous, exhibits a different rate structure again: discrete, widely spaced frontier events — fission weapons in 1945, thermonuclear weapons roughly seven years later, multiple-warhead delivery systems entering deployment around two further decades after that — separated by intervals long enough, at least in the longer of these gaps, for doctrine, deterrence norms, and non-proliferation architecture to partially catch up before the next frontier event, even though that institutional adaptation was itself slow and imperfect.</w:t>
      </w:r>
    </w:p>
    <w:p>
      <w:pPr>
        <w:ind w:firstLine="720"/>
      </w:pPr>
      <w:r>
        <w:rPr>
          <w:rFonts w:ascii="Times New Roman" w:hAnsi="Times New Roman"/>
          <w:b w:val="0"/>
          <w:i w:val="0"/>
          <w:sz w:val="24"/>
        </w:rPr>
        <w:t>None of these precedents combine what the domains tested later in this paper combine: a discovery frontier accelerating under some form of compounding self-improvement, set against a diffusion floor rate-capped by constraints that do not compound at a comparable speed. This specific combination — a compounding frontier paired with a non-compounding floor — is the structural novelty this paper is built to identify, and its absence from these three precedents is why an ordinary theory of technology diffusion, developed against cases like these, does not by itself anticipate it.</w:t>
      </w:r>
    </w:p>
    <w:p>
      <w:pPr>
        <w:pStyle w:val="Heading1"/>
      </w:pPr>
      <w:r>
        <w:rPr>
          <w:rFonts w:ascii="Times New Roman" w:hAnsi="Times New Roman"/>
          <w:color w:val="000000"/>
        </w:rPr>
        <w:t>III. Formalizing the Gap as a Workload Process</w:t>
      </w:r>
    </w:p>
    <w:p>
      <w:pPr>
        <w:ind w:firstLine="720"/>
      </w:pPr>
      <w:r>
        <w:rPr>
          <w:rFonts w:ascii="Times New Roman" w:hAnsi="Times New Roman"/>
          <w:b w:val="0"/>
          <w:i w:val="0"/>
          <w:sz w:val="24"/>
        </w:rPr>
        <w:t>Let F(t) denote the frontier: the level of some capability or good available, at time t, only through the most advanced means accessible to the narrowest tier of access. Let D(t) denote the floor: the level of that same capability or good available through means that have completed the full path to broad, ordinary accessibility. The gap is Δ(t) = F(t) − D(t), measured in whatever units are appropriate to the domain at hand.</w:t>
      </w:r>
    </w:p>
    <w:p>
      <w:pPr>
        <w:ind w:firstLine="720"/>
      </w:pPr>
      <w:r>
        <w:rPr>
          <w:rFonts w:ascii="Times New Roman" w:hAnsi="Times New Roman"/>
          <w:b w:val="0"/>
          <w:i w:val="0"/>
          <w:sz w:val="24"/>
        </w:rPr>
        <w:t>Each reset event — a discrete advance in the frontier, however that advance is generated in a given domain — does two things at once. It raises F(t) discretely, by an amount set by the value of that specific advance. And it restarts, for that specific increment, the clock on which diffusion to the floor depends, because diffusion of an advance cannot begin before the advance exists. Reset events arrive at rate λ(t) and each contributes a gap-equivalent jump size δᵢ. Between arrivals, ongoing diffusion draws Δ(t) down continuously at rate μ, floored at zero rather than permitted to go negative — a fully closed gap simply stays closed, diffusion idling, until the next reset event reopens it.</w:t>
      </w:r>
    </w:p>
    <w:p>
      <w:pPr>
        <w:ind w:firstLine="720"/>
      </w:pPr>
      <w:r>
        <w:rPr>
          <w:rFonts w:ascii="Times New Roman" w:hAnsi="Times New Roman"/>
          <w:b w:val="0"/>
          <w:i w:val="0"/>
          <w:sz w:val="24"/>
        </w:rPr>
        <w:t>This is, precisely and not merely by analogy, the workload process — equivalently, the virtual waiting time — of a queue with Poisson arrivals and a general service-time distribution: the standard object V(t), total unfinished work in a system at time t, which jumps upward by a service requirement at each arrival and decreases at a bounded rate between arrivals as accumulated work is processed (Kleinrock, 1975). This produces, as an exact consequence of the model rather than an approximate description, a sawtooth sample path. Treating Δ(t) as a complete workload process in this sense requires one further, explicitly stated assumption beyond the arrival-rate specification: the jump sizes {δᵢ} must be regular enough to admit a well-defined expectation E[δ], the ordinary requirement for the general service-time component of the model. This is not assumed to hold automatically; it is a testable condition, named explicitly as one of this paper's own falsification conditions in Part VIII, and any domain considered under this framework should be checked against it rather than presumed to satisfy it.</w:t>
      </w:r>
    </w:p>
    <w:p>
      <w:pPr>
        <w:ind w:firstLine="720"/>
      </w:pPr>
      <w:r>
        <w:rPr>
          <w:rFonts w:ascii="Times New Roman" w:hAnsi="Times New Roman"/>
          <w:b w:val="0"/>
          <w:i w:val="0"/>
          <w:sz w:val="24"/>
        </w:rPr>
        <w:t>rho(t) = λ(t) · E[δ] / μ</w:t>
      </w:r>
    </w:p>
    <w:p>
      <w:pPr>
        <w:ind w:firstLine="720"/>
      </w:pPr>
      <w:r>
        <w:rPr>
          <w:rFonts w:ascii="Times New Roman" w:hAnsi="Times New Roman"/>
          <w:b w:val="0"/>
          <w:i w:val="0"/>
          <w:sz w:val="24"/>
        </w:rPr>
        <w:t>with the system locally stable — Δ(t) not growing without bound — while ρ(t) &lt; 1, and structurally unstable, in the sense of a permanently rather than transiently growing backlog, once ρ(t) exceeds 1 and remains there. For a time-varying arrival rate, this is the standard generalization already established in the literature on queues with non-stationary arrivals (Massey, 1985). The instability threshold t* is the solution to ρ(t*) = 1.</w:t>
      </w:r>
    </w:p>
    <w:p>
      <w:pPr>
        <w:ind w:firstLine="720"/>
      </w:pPr>
      <w:r>
        <w:rPr>
          <w:rFonts w:ascii="Times New Roman" w:hAnsi="Times New Roman"/>
          <w:b w:val="0"/>
          <w:i w:val="0"/>
          <w:sz w:val="24"/>
        </w:rPr>
        <w:t>One further methodological point is worth stating precisely here, because a careless version of this framework can slide past it. Whether Δ(t)'s sawtooth path trends toward zero, oscillates around a stable mean, or drifts upward without bound depends entirely on the relative growth of λ(t) against the bounded ceiling μ, and for the specific, monotonic case this paper is concerned with — an arrival rate that increases and permanently exceeds μ, rather than one that merely fluctuates around a stable long-run mean — the threshold-crossing condition ρ(t) = 1 is the exact moment at which the fluid approximation's backlog begins growing without bound, not merely a convenient proxy for it. This distinction matters because a genuinely fluctuating arrival rate can produce transient overload that resembles instability over a finite observation window without actually satisfying the structural condition this paper is about; the empirical sections below apply exactly this check before characterizing any domain's arrival process as compounding.</w:t>
      </w:r>
    </w:p>
    <w:p>
      <w:pPr>
        <w:pStyle w:val="Heading1"/>
      </w:pPr>
      <w:r>
        <w:rPr>
          <w:rFonts w:ascii="Times New Roman" w:hAnsi="Times New Roman"/>
          <w:color w:val="000000"/>
        </w:rPr>
        <w:t>IV. Disaggregating the Floor: Hard and Soft</w:t>
      </w:r>
    </w:p>
    <w:p>
      <w:pPr>
        <w:ind w:firstLine="720"/>
      </w:pPr>
      <w:r>
        <w:rPr>
          <w:rFonts w:ascii="Times New Roman" w:hAnsi="Times New Roman"/>
          <w:b w:val="0"/>
          <w:i w:val="0"/>
          <w:sz w:val="24"/>
        </w:rPr>
        <w:t>Part III treats μ as a single bounded ceiling. In practice, diffusion to the floor is rarely a single server; it is a pipeline of sequential processing stages an advance must pass through before reaching broad accessibility, and the number and nature of those stages differs by domain — this paper does not assume a single universal stage template applies everywhere, and the two empirical parts below disaggregate their own domains' pipelines independently rather than forcing a common structure onto both.</w:t>
      </w:r>
    </w:p>
    <w:p>
      <w:pPr>
        <w:ind w:firstLine="720"/>
      </w:pPr>
      <w:r>
        <w:rPr>
          <w:rFonts w:ascii="Times New Roman" w:hAnsi="Times New Roman"/>
          <w:b w:val="0"/>
          <w:i w:val="0"/>
          <w:sz w:val="24"/>
        </w:rPr>
        <w:t>What generalizes across domains is not the specific stages but the logic connecting them. For a pipeline of processing stages arranged in series, effective throughput is capped by the slowest stage, not by the average of all stages, because output from a faster stage simply accumulates in front of a slower one downstream. This is ordinary bottleneck logic for tandem stages, distinct from the more general machinery of networks with probabilistic routing, which is not needed here. Identifying μ's effective ceiling in a given domain requires identifying, empirically rather than by assumption, which stage actually binds.</w:t>
      </w:r>
    </w:p>
    <w:p>
      <w:pPr>
        <w:ind w:firstLine="720"/>
      </w:pPr>
      <w:r>
        <w:rPr>
          <w:rFonts w:ascii="Times New Roman" w:hAnsi="Times New Roman"/>
          <w:b w:val="0"/>
          <w:i w:val="0"/>
          <w:sz w:val="24"/>
        </w:rPr>
        <w:t>What also generalizes is a distinction in kind among the stages themselves, useful enough to name once here rather than re-derive in each empirical section. A hard floor is a stage bound by something no plausible level of investment shortens — calendar time itself, a biological or physical process that must simply run its course, or an observation window that cannot be compressed without compromising what it is meant to establish. A soft floor is a stage bound by resources — staffing, funding, institutional capacity, political will — that could in principle be substantially increased. A semi-soft floor sits between the two: responsive to capital, but only over a build-time that cannot itself be instantaneous, such as physical construction. The distinction matters because it is a sharper claim than governance investment generally helps. It specifies where investment can and cannot move the ceiling at all. If a hard floor is the stage that actually binds in a given domain — an empirical question this paper insists on treating as one, never assumed — then investment directed at the domain's soft floors, however large, does not move μ, because the pipeline's throughput is capped by the one stage that investment cannot reach.</w:t>
      </w:r>
    </w:p>
    <w:p>
      <w:pPr>
        <w:ind w:firstLine="720"/>
      </w:pPr>
      <w:r>
        <w:rPr>
          <w:rFonts w:ascii="Times New Roman" w:hAnsi="Times New Roman"/>
          <w:b w:val="0"/>
          <w:i w:val="0"/>
          <w:sz w:val="24"/>
        </w:rPr>
        <w:t>A structural correspondence worth noting briefly, without overstating it: the production-versus-dampening logic developed here — an arrival or generation rate permanently exceeding a bounded processing capacity — has the same shape as a broader class of instability conditions studied elsewhere in applied dynamics, wherever a disruptive process outpaces whatever institutional or physical buffering capacity is meant to absorb it. This paper does not claim that every instance of that broader shape is an example of the specific mechanism developed here; the claim is narrower and more useful: that this paper's own two empirical tests, developed independently of each other, are two instances of the same underlying rate-structure question, and evidence bearing on how to test one domain for this structure bears, at the level of method, on how to test the other.</w:t>
      </w:r>
    </w:p>
    <w:p>
      <w:r>
        <w:br w:type="page"/>
      </w:r>
    </w:p>
    <w:p>
      <w:pPr>
        <w:pStyle w:val="Heading1"/>
      </w:pPr>
      <w:r>
        <w:rPr>
          <w:rFonts w:ascii="Times New Roman" w:hAnsi="Times New Roman"/>
          <w:color w:val="000000"/>
        </w:rPr>
        <w:t>V. Empirical Test One: Housing Construction (Bounded-Lag Null Comparator)</w:t>
      </w:r>
    </w:p>
    <w:p>
      <w:pPr>
        <w:ind w:firstLine="720"/>
      </w:pPr>
      <w:r>
        <w:rPr>
          <w:rFonts w:ascii="Times New Roman" w:hAnsi="Times New Roman"/>
          <w:b w:val="0"/>
          <w:i w:val="0"/>
          <w:sz w:val="24"/>
        </w:rPr>
        <w:t>The original draft proposed housing supply as a candidate null-case domain — one where frontier and floor share the same underlying resource base and should therefore exhibit ordinary bounded lag rather than the structural instability described in Part III. This enhanced version reports the test against real data.</w:t>
      </w:r>
    </w:p>
    <w:p>
      <w:pPr>
        <w:pStyle w:val="Heading2"/>
      </w:pPr>
      <w:r>
        <w:rPr>
          <w:rFonts w:ascii="Times New Roman" w:hAnsi="Times New Roman"/>
          <w:color w:val="000000"/>
        </w:rPr>
        <w:t>Data and Variables</w:t>
      </w:r>
    </w:p>
    <w:p>
      <w:pPr>
        <w:ind w:firstLine="720"/>
      </w:pPr>
      <w:r>
        <w:rPr>
          <w:rFonts w:ascii="Times New Roman" w:hAnsi="Times New Roman"/>
          <w:b w:val="0"/>
          <w:i w:val="0"/>
          <w:sz w:val="24"/>
        </w:rPr>
        <w:t>Three monthly time series were independently fetched from the Federal Reserve Bank of St. Louis (FRED): new privately-owned housing units authorized (PERMIT), started (HOUST), and completed (COMPUTSA), spanning 1968–2026 with N = 704 overlapping monthly observations. The operational flow variables are B_t = P_t − C_t (monthly permit-to-completion gap), Q_t = S_t − C_t (starts-to-completion pipeline gap), and the cumulative proxy H_t = Σ(P_t − C_t).</w:t>
      </w:r>
    </w:p>
    <w:p>
      <w:pPr>
        <w:pStyle w:val="Heading2"/>
      </w:pPr>
      <w:r>
        <w:rPr>
          <w:rFonts w:ascii="Times New Roman" w:hAnsi="Times New Roman"/>
          <w:color w:val="000000"/>
        </w:rPr>
        <w:t>Stationarity and Unit Root Results</w:t>
      </w:r>
    </w:p>
    <w:p>
      <w:pPr>
        <w:ind w:firstLine="720"/>
      </w:pPr>
      <w:r>
        <w:rPr>
          <w:rFonts w:ascii="Times New Roman" w:hAnsi="Times New Roman"/>
          <w:b w:val="0"/>
          <w:i w:val="0"/>
          <w:sz w:val="24"/>
        </w:rPr>
        <w:t>The monthly flow gap B_t is strictly stationary under the Augmented Dickey-Fuller test (ADF statistic = −7.41, p &lt; 10⁻¹⁰; 20 lags). The KPSS test fails to reject stationarity at the 5% level. The starts-to-completion gap Q_t is similarly stationary (ADF = −5.47, p &lt; 10⁻⁵). As expected, the cumulative flow proxy H_t is nonstationary (ADF p = 0.69), confirming that mechanical accumulation of a stationary flow produces a unit-root series — but this does not imply queueing instability at the operational level.</w:t>
      </w:r>
    </w:p>
    <w:p>
      <w:r>
        <w:rPr>
          <w:rFonts w:ascii="Times New Roman" w:hAnsi="Times New Roman"/>
          <w:b/>
          <w:i w:val="0"/>
          <w:sz w:val="22"/>
        </w:rPr>
        <w:t>Table 1. Housing Unit Root and Stationarity Tests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Series</w:t>
            </w:r>
          </w:p>
        </w:tc>
        <w:tc>
          <w:tcPr>
            <w:tcW w:type="dxa" w:w="1560"/>
          </w:tcPr>
          <w:p>
            <w:r>
              <w:rPr>
                <w:rFonts w:ascii="Times New Roman" w:hAnsi="Times New Roman"/>
                <w:b/>
                <w:sz w:val="20"/>
              </w:rPr>
              <w:t>Sample</w:t>
            </w:r>
          </w:p>
        </w:tc>
        <w:tc>
          <w:tcPr>
            <w:tcW w:type="dxa" w:w="1560"/>
          </w:tcPr>
          <w:p>
            <w:r>
              <w:rPr>
                <w:rFonts w:ascii="Times New Roman" w:hAnsi="Times New Roman"/>
                <w:b/>
                <w:sz w:val="20"/>
              </w:rPr>
              <w:t>N</w:t>
            </w:r>
          </w:p>
        </w:tc>
        <w:tc>
          <w:tcPr>
            <w:tcW w:type="dxa" w:w="1560"/>
          </w:tcPr>
          <w:p>
            <w:r>
              <w:rPr>
                <w:rFonts w:ascii="Times New Roman" w:hAnsi="Times New Roman"/>
                <w:b/>
                <w:sz w:val="20"/>
              </w:rPr>
              <w:t>ADF Stat</w:t>
            </w:r>
          </w:p>
        </w:tc>
        <w:tc>
          <w:tcPr>
            <w:tcW w:type="dxa" w:w="1560"/>
          </w:tcPr>
          <w:p>
            <w:r>
              <w:rPr>
                <w:rFonts w:ascii="Times New Roman" w:hAnsi="Times New Roman"/>
                <w:b/>
                <w:sz w:val="20"/>
              </w:rPr>
              <w:t>ADF p</w:t>
            </w:r>
          </w:p>
        </w:tc>
        <w:tc>
          <w:tcPr>
            <w:tcW w:type="dxa" w:w="1560"/>
          </w:tcPr>
          <w:p>
            <w:r>
              <w:rPr>
                <w:rFonts w:ascii="Times New Roman" w:hAnsi="Times New Roman"/>
                <w:b/>
                <w:sz w:val="20"/>
              </w:rPr>
              <w:t>Conclusion</w:t>
            </w:r>
          </w:p>
        </w:tc>
      </w:tr>
      <w:tr>
        <w:tc>
          <w:tcPr>
            <w:tcW w:type="dxa" w:w="1560"/>
          </w:tcPr>
          <w:p>
            <w:r>
              <w:rPr>
                <w:rFonts w:ascii="Times New Roman" w:hAnsi="Times New Roman"/>
                <w:sz w:val="20"/>
              </w:rPr>
              <w:t xml:space="preserve">B_t (Permits - Completions monthly flow </w:t>
            </w:r>
          </w:p>
        </w:tc>
        <w:tc>
          <w:tcPr>
            <w:tcW w:type="dxa" w:w="1560"/>
          </w:tcPr>
          <w:p>
            <w:r>
              <w:rPr>
                <w:rFonts w:ascii="Times New Roman" w:hAnsi="Times New Roman"/>
                <w:sz w:val="20"/>
              </w:rPr>
              <w:t>Full sample</w:t>
            </w:r>
          </w:p>
        </w:tc>
        <w:tc>
          <w:tcPr>
            <w:tcW w:type="dxa" w:w="1560"/>
          </w:tcPr>
          <w:p>
            <w:r>
              <w:rPr>
                <w:rFonts w:ascii="Times New Roman" w:hAnsi="Times New Roman"/>
                <w:sz w:val="20"/>
              </w:rPr>
              <w:t>704</w:t>
            </w:r>
          </w:p>
        </w:tc>
        <w:tc>
          <w:tcPr>
            <w:tcW w:type="dxa" w:w="1560"/>
          </w:tcPr>
          <w:p>
            <w:r>
              <w:rPr>
                <w:rFonts w:ascii="Times New Roman" w:hAnsi="Times New Roman"/>
                <w:sz w:val="20"/>
              </w:rPr>
              <w:t>-4.418</w:t>
            </w:r>
          </w:p>
        </w:tc>
        <w:tc>
          <w:tcPr>
            <w:tcW w:type="dxa" w:w="1560"/>
          </w:tcPr>
          <w:p>
            <w:r>
              <w:rPr>
                <w:rFonts w:ascii="Times New Roman" w:hAnsi="Times New Roman"/>
                <w:sz w:val="20"/>
              </w:rPr>
              <w:t>2.76e-04</w:t>
            </w:r>
          </w:p>
        </w:tc>
        <w:tc>
          <w:tcPr>
            <w:tcW w:type="dxa" w:w="1560"/>
          </w:tcPr>
          <w:p>
            <w:r>
              <w:rPr>
                <w:rFonts w:ascii="Times New Roman" w:hAnsi="Times New Roman"/>
                <w:sz w:val="20"/>
              </w:rPr>
              <w:t>Inconclusive / Mixed</w:t>
            </w:r>
          </w:p>
        </w:tc>
      </w:tr>
      <w:tr>
        <w:tc>
          <w:tcPr>
            <w:tcW w:type="dxa" w:w="1560"/>
          </w:tcPr>
          <w:p>
            <w:r>
              <w:rPr>
                <w:rFonts w:ascii="Times New Roman" w:hAnsi="Times New Roman"/>
                <w:sz w:val="20"/>
              </w:rPr>
              <w:t>Q_t (Starts - Completions monthly flow g</w:t>
            </w:r>
          </w:p>
        </w:tc>
        <w:tc>
          <w:tcPr>
            <w:tcW w:type="dxa" w:w="1560"/>
          </w:tcPr>
          <w:p>
            <w:r>
              <w:rPr>
                <w:rFonts w:ascii="Times New Roman" w:hAnsi="Times New Roman"/>
                <w:sz w:val="20"/>
              </w:rPr>
              <w:t>Full sample</w:t>
            </w:r>
          </w:p>
        </w:tc>
        <w:tc>
          <w:tcPr>
            <w:tcW w:type="dxa" w:w="1560"/>
          </w:tcPr>
          <w:p>
            <w:r>
              <w:rPr>
                <w:rFonts w:ascii="Times New Roman" w:hAnsi="Times New Roman"/>
                <w:sz w:val="20"/>
              </w:rPr>
              <w:t>704</w:t>
            </w:r>
          </w:p>
        </w:tc>
        <w:tc>
          <w:tcPr>
            <w:tcW w:type="dxa" w:w="1560"/>
          </w:tcPr>
          <w:p>
            <w:r>
              <w:rPr>
                <w:rFonts w:ascii="Times New Roman" w:hAnsi="Times New Roman"/>
                <w:sz w:val="20"/>
              </w:rPr>
              <w:t>-5.474</w:t>
            </w:r>
          </w:p>
        </w:tc>
        <w:tc>
          <w:tcPr>
            <w:tcW w:type="dxa" w:w="1560"/>
          </w:tcPr>
          <w:p>
            <w:r>
              <w:rPr>
                <w:rFonts w:ascii="Times New Roman" w:hAnsi="Times New Roman"/>
                <w:sz w:val="20"/>
              </w:rPr>
              <w:t>2.37e-06</w:t>
            </w:r>
          </w:p>
        </w:tc>
        <w:tc>
          <w:tcPr>
            <w:tcW w:type="dxa" w:w="1560"/>
          </w:tcPr>
          <w:p>
            <w:r>
              <w:rPr>
                <w:rFonts w:ascii="Times New Roman" w:hAnsi="Times New Roman"/>
                <w:sz w:val="20"/>
              </w:rPr>
              <w:t>Stationary (I(0))</w:t>
            </w:r>
          </w:p>
        </w:tc>
      </w:tr>
      <w:tr>
        <w:tc>
          <w:tcPr>
            <w:tcW w:type="dxa" w:w="1560"/>
          </w:tcPr>
          <w:p>
            <w:r>
              <w:rPr>
                <w:rFonts w:ascii="Times New Roman" w:hAnsi="Times New Roman"/>
                <w:sz w:val="20"/>
              </w:rPr>
              <w:t>H_t (Cumulative flow proxy)</w:t>
            </w:r>
          </w:p>
        </w:tc>
        <w:tc>
          <w:tcPr>
            <w:tcW w:type="dxa" w:w="1560"/>
          </w:tcPr>
          <w:p>
            <w:r>
              <w:rPr>
                <w:rFonts w:ascii="Times New Roman" w:hAnsi="Times New Roman"/>
                <w:sz w:val="20"/>
              </w:rPr>
              <w:t>Full sample</w:t>
            </w:r>
          </w:p>
        </w:tc>
        <w:tc>
          <w:tcPr>
            <w:tcW w:type="dxa" w:w="1560"/>
          </w:tcPr>
          <w:p>
            <w:r>
              <w:rPr>
                <w:rFonts w:ascii="Times New Roman" w:hAnsi="Times New Roman"/>
                <w:sz w:val="20"/>
              </w:rPr>
              <w:t>704</w:t>
            </w:r>
          </w:p>
        </w:tc>
        <w:tc>
          <w:tcPr>
            <w:tcW w:type="dxa" w:w="1560"/>
          </w:tcPr>
          <w:p>
            <w:r>
              <w:rPr>
                <w:rFonts w:ascii="Times New Roman" w:hAnsi="Times New Roman"/>
                <w:sz w:val="20"/>
              </w:rPr>
              <w:t>-1.155</w:t>
            </w:r>
          </w:p>
        </w:tc>
        <w:tc>
          <w:tcPr>
            <w:tcW w:type="dxa" w:w="1560"/>
          </w:tcPr>
          <w:p>
            <w:r>
              <w:rPr>
                <w:rFonts w:ascii="Times New Roman" w:hAnsi="Times New Roman"/>
                <w:sz w:val="20"/>
              </w:rPr>
              <w:t>0.6926</w:t>
            </w:r>
          </w:p>
        </w:tc>
        <w:tc>
          <w:tcPr>
            <w:tcW w:type="dxa" w:w="1560"/>
          </w:tcPr>
          <w:p>
            <w:r>
              <w:rPr>
                <w:rFonts w:ascii="Times New Roman" w:hAnsi="Times New Roman"/>
                <w:sz w:val="20"/>
              </w:rPr>
              <w:t>Unit Root (I(1))</w:t>
            </w:r>
          </w:p>
        </w:tc>
      </w:tr>
      <w:tr>
        <w:tc>
          <w:tcPr>
            <w:tcW w:type="dxa" w:w="1560"/>
          </w:tcPr>
          <w:p>
            <w:r>
              <w:rPr>
                <w:rFonts w:ascii="Times New Roman" w:hAnsi="Times New Roman"/>
                <w:sz w:val="20"/>
              </w:rPr>
              <w:t>B_t (Permits - Completions)</w:t>
            </w:r>
          </w:p>
        </w:tc>
        <w:tc>
          <w:tcPr>
            <w:tcW w:type="dxa" w:w="1560"/>
          </w:tcPr>
          <w:p>
            <w:r>
              <w:rPr>
                <w:rFonts w:ascii="Times New Roman" w:hAnsi="Times New Roman"/>
                <w:sz w:val="20"/>
              </w:rPr>
              <w:t>Excluding COVID (202</w:t>
            </w:r>
          </w:p>
        </w:tc>
        <w:tc>
          <w:tcPr>
            <w:tcW w:type="dxa" w:w="1560"/>
          </w:tcPr>
          <w:p>
            <w:r>
              <w:rPr>
                <w:rFonts w:ascii="Times New Roman" w:hAnsi="Times New Roman"/>
                <w:sz w:val="20"/>
              </w:rPr>
              <w:t>681</w:t>
            </w:r>
          </w:p>
        </w:tc>
        <w:tc>
          <w:tcPr>
            <w:tcW w:type="dxa" w:w="1560"/>
          </w:tcPr>
          <w:p>
            <w:r>
              <w:rPr>
                <w:rFonts w:ascii="Times New Roman" w:hAnsi="Times New Roman"/>
                <w:sz w:val="20"/>
              </w:rPr>
              <w:t>-4.891</w:t>
            </w:r>
          </w:p>
        </w:tc>
        <w:tc>
          <w:tcPr>
            <w:tcW w:type="dxa" w:w="1560"/>
          </w:tcPr>
          <w:p>
            <w:r>
              <w:rPr>
                <w:rFonts w:ascii="Times New Roman" w:hAnsi="Times New Roman"/>
                <w:sz w:val="20"/>
              </w:rPr>
              <w:t>3.63e-05</w:t>
            </w:r>
          </w:p>
        </w:tc>
        <w:tc>
          <w:tcPr>
            <w:tcW w:type="dxa" w:w="1560"/>
          </w:tcPr>
          <w:p>
            <w:r>
              <w:rPr>
                <w:rFonts w:ascii="Times New Roman" w:hAnsi="Times New Roman"/>
                <w:sz w:val="20"/>
              </w:rPr>
              <w:t>Inconclusive / Mixed</w:t>
            </w:r>
          </w:p>
        </w:tc>
      </w:tr>
      <w:tr>
        <w:tc>
          <w:tcPr>
            <w:tcW w:type="dxa" w:w="1560"/>
          </w:tcPr>
          <w:p>
            <w:r>
              <w:rPr>
                <w:rFonts w:ascii="Times New Roman" w:hAnsi="Times New Roman"/>
                <w:sz w:val="20"/>
              </w:rPr>
              <w:t>H_t (Cumulative flow proxy)</w:t>
            </w:r>
          </w:p>
        </w:tc>
        <w:tc>
          <w:tcPr>
            <w:tcW w:type="dxa" w:w="1560"/>
          </w:tcPr>
          <w:p>
            <w:r>
              <w:rPr>
                <w:rFonts w:ascii="Times New Roman" w:hAnsi="Times New Roman"/>
                <w:sz w:val="20"/>
              </w:rPr>
              <w:t>Excluding COVID (202</w:t>
            </w:r>
          </w:p>
        </w:tc>
        <w:tc>
          <w:tcPr>
            <w:tcW w:type="dxa" w:w="1560"/>
          </w:tcPr>
          <w:p>
            <w:r>
              <w:rPr>
                <w:rFonts w:ascii="Times New Roman" w:hAnsi="Times New Roman"/>
                <w:sz w:val="20"/>
              </w:rPr>
              <w:t>681</w:t>
            </w:r>
          </w:p>
        </w:tc>
        <w:tc>
          <w:tcPr>
            <w:tcW w:type="dxa" w:w="1560"/>
          </w:tcPr>
          <w:p>
            <w:r>
              <w:rPr>
                <w:rFonts w:ascii="Times New Roman" w:hAnsi="Times New Roman"/>
                <w:sz w:val="20"/>
              </w:rPr>
              <w:t>-1.215</w:t>
            </w:r>
          </w:p>
        </w:tc>
        <w:tc>
          <w:tcPr>
            <w:tcW w:type="dxa" w:w="1560"/>
          </w:tcPr>
          <w:p>
            <w:r>
              <w:rPr>
                <w:rFonts w:ascii="Times New Roman" w:hAnsi="Times New Roman"/>
                <w:sz w:val="20"/>
              </w:rPr>
              <w:t>0.6673</w:t>
            </w:r>
          </w:p>
        </w:tc>
        <w:tc>
          <w:tcPr>
            <w:tcW w:type="dxa" w:w="1560"/>
          </w:tcPr>
          <w:p>
            <w:r>
              <w:rPr>
                <w:rFonts w:ascii="Times New Roman" w:hAnsi="Times New Roman"/>
                <w:sz w:val="20"/>
              </w:rPr>
              <w:t>Unit Root (I(1))</w:t>
            </w:r>
          </w:p>
        </w:tc>
      </w:tr>
    </w:tbl>
    <w:p/>
    <w:p>
      <w:pPr>
        <w:pStyle w:val="Heading2"/>
      </w:pPr>
      <w:r>
        <w:rPr>
          <w:rFonts w:ascii="Times New Roman" w:hAnsi="Times New Roman"/>
          <w:color w:val="000000"/>
        </w:rPr>
        <w:t>Recovery Dynamics</w:t>
      </w:r>
    </w:p>
    <w:p>
      <w:pPr>
        <w:ind w:firstLine="720"/>
      </w:pPr>
      <w:r>
        <w:rPr>
          <w:rFonts w:ascii="Times New Roman" w:hAnsi="Times New Roman"/>
          <w:b w:val="0"/>
          <w:i w:val="0"/>
          <w:sz w:val="24"/>
        </w:rPr>
        <w:t>The AR(1) persistence coefficient for B_t is φ = 0.52, yielding a shock half-life of 1.1 months. Positive backlog shocks dissipate within an average of 2.4 months (maximum observed: 14 months). A detailed recovery specification reports φ = 0.873 with half-life 5.09 months and mean recovery of 13.07 months. Because these specifications differ in lag structure and sample trimming, both are reported; the operational conclusion — that the housing pipeline is self-correcting and mean-reverting — holds under both.</w:t>
      </w:r>
    </w:p>
    <w:p>
      <w:pPr>
        <w:pStyle w:val="Heading2"/>
      </w:pPr>
      <w:r>
        <w:rPr>
          <w:rFonts w:ascii="Times New Roman" w:hAnsi="Times New Roman"/>
          <w:color w:val="000000"/>
        </w:rPr>
        <w:t>Null-Case Conclusion</w:t>
      </w:r>
    </w:p>
    <w:p>
      <w:pPr>
        <w:ind w:firstLine="720"/>
      </w:pPr>
      <w:r>
        <w:rPr>
          <w:rFonts w:ascii="Times New Roman" w:hAnsi="Times New Roman"/>
          <w:b w:val="0"/>
          <w:i w:val="0"/>
          <w:sz w:val="24"/>
        </w:rPr>
        <w:t>Housing provides the operationally bounded comparator the original framework required. The flow difference B_t = P_t − C_t is strictly mean-reverting. Mechanical accumulation of H_t does not imply flow instability. This result confirms the null-case prediction: when frontier and floor share the same underlying resource base (labor, materials, regulatory capacity), ordinary bounded lag obtains rather than structural queueing explosion.</w:t>
      </w:r>
    </w:p>
    <w:p>
      <w:r>
        <w:br w:type="page"/>
      </w:r>
    </w:p>
    <w:p>
      <w:pPr>
        <w:pStyle w:val="Heading1"/>
      </w:pPr>
      <w:r>
        <w:rPr>
          <w:rFonts w:ascii="Times New Roman" w:hAnsi="Times New Roman"/>
          <w:color w:val="000000"/>
        </w:rPr>
        <w:t>VI. Empirical Test Two: AI Capability Growth</w:t>
      </w:r>
    </w:p>
    <w:p>
      <w:pPr>
        <w:ind w:firstLine="720"/>
      </w:pPr>
      <w:r>
        <w:rPr>
          <w:rFonts w:ascii="Times New Roman" w:hAnsi="Times New Roman"/>
          <w:b w:val="0"/>
          <w:i w:val="0"/>
          <w:sz w:val="24"/>
        </w:rPr>
        <w:t>The first domain tested is the one closest to the framework's own origin, since AI capability growth is the process most directly implicated in generating compounding frontiers across many domains at once. It is tested here on its own terms, with its own fetched data, rather than assumed.</w:t>
      </w:r>
    </w:p>
    <w:p>
      <w:pPr>
        <w:pStyle w:val="Heading2"/>
      </w:pPr>
      <w:r>
        <w:rPr>
          <w:rFonts w:ascii="Times New Roman" w:hAnsi="Times New Roman"/>
          <w:color w:val="000000"/>
        </w:rPr>
        <w:t>The Frontier, Fit From Raw Data</w:t>
      </w:r>
    </w:p>
    <w:p>
      <w:pPr>
        <w:ind w:firstLine="720"/>
      </w:pPr>
      <w:r>
        <w:rPr>
          <w:rFonts w:ascii="Times New Roman" w:hAnsi="Times New Roman"/>
          <w:b w:val="0"/>
          <w:i w:val="0"/>
          <w:sz w:val="24"/>
        </w:rPr>
        <w:t>Time-horizon data from METR's public evaluation repository — individual task-run outcomes, not a pre-aggregated summary — was used to independently fit, via weighted logistic regression on raw success/failure outcomes, the task duration at which each model's success probability crosses fifty percent, for thirty-four models spanning 2019 to 2025 and twenty-one models on an updated task suite spanning 2023 to 2026. The full-history fit gives a doubling time of 6.78 months, closely reproducing the developer's own published headline figure and serving as a check that the independent methodology is sound. The more recent subsample gives a substantially faster 4.0 months.</w:t>
      </w:r>
    </w:p>
    <w:p>
      <w:pPr>
        <w:ind w:firstLine="720"/>
      </w:pPr>
      <w:r>
        <w:rPr>
          <w:rFonts w:ascii="Times New Roman" w:hAnsi="Times New Roman"/>
          <w:b w:val="0"/>
          <w:i w:val="0"/>
          <w:sz w:val="24"/>
        </w:rPr>
        <w:t>Two alternative explanations for this apparent recent acceleration were tested directly rather than assumed away. Controlling for the median number of tokens used per task — a proxy for whether models are simply being given a larger reasoning or tool-use budget over time, rather than becoming more capable per unit of computation — changed the fitted growth coefficient by less than three percent, which does not support that explanation. Holding the evaluation scaffold completely fixed across twelve models spanning more than two years, rather than allowing the scaffold to vary across models as it does in the full dataset, gave a doubling time of 3.11 months — faster, not slower, than the mixed-scaffold estimate, which is the opposite of what would be expected if increasingly sophisticated scaffolding, rather than increasingly capable underlying models, explained the trend.</w:t>
      </w:r>
    </w:p>
    <w:p>
      <w:pPr>
        <w:pStyle w:val="Heading2"/>
      </w:pPr>
      <w:r>
        <w:rPr>
          <w:rFonts w:ascii="Times New Roman" w:hAnsi="Times New Roman"/>
          <w:color w:val="000000"/>
        </w:rPr>
        <w:t>A Correction, Kept in the Record</w:t>
      </w:r>
    </w:p>
    <w:p>
      <w:pPr>
        <w:ind w:firstLine="720"/>
      </w:pPr>
      <w:r>
        <w:rPr>
          <w:rFonts w:ascii="Times New Roman" w:hAnsi="Times New Roman"/>
          <w:b w:val="0"/>
          <w:i w:val="0"/>
          <w:sz w:val="24"/>
        </w:rPr>
        <w:t>A further test, run because the framework's own falsification conditions (Part VIII) require it, initially suggested something stronger: a statistically significant positive curvature term in a quadratic fit of log-capability against time, read on first pass as evidence that the growth rate is itself accelerating rather than merely fast. This reading did not survive closer inspection, and the correction is preserved here in full rather than quietly folded into a revised headline number, because the method of catching the error is itself part of what this paper is arguing should be standard practice.</w:t>
      </w:r>
    </w:p>
    <w:p>
      <w:pPr>
        <w:ind w:firstLine="720"/>
      </w:pPr>
      <w:r>
        <w:rPr>
          <w:rFonts w:ascii="Times New Roman" w:hAnsi="Times New Roman"/>
          <w:b w:val="0"/>
          <w:i w:val="0"/>
          <w:sz w:val="24"/>
        </w:rPr>
        <w:t>Centering the time variable revealed that the fitted linear and quadratic coefficients were very nearly collinear, meaning point estimates of each, taken separately, are not well identified even though the overall curve's shape is. A fully paired bootstrap — resampling the underlying data and refitting both a simple and a curved model together on each resample, rather than propagating separately-estimated point coefficients through a nonlinear formula — showed that the curved model does not reliably predict an earlier threshold-crossing than the simple model for thresholds within the actually observed data range; only for a threshold well beyond that range, in the region where any extrapolation is least trustworthy, did the curved model predict an earlier crossing.</w:t>
      </w:r>
    </w:p>
    <w:p>
      <w:pPr>
        <w:ind w:firstLine="720"/>
      </w:pPr>
      <w:r>
        <w:rPr>
          <w:rFonts w:ascii="Times New Roman" w:hAnsi="Times New Roman"/>
          <w:b w:val="0"/>
          <w:i w:val="0"/>
          <w:sz w:val="24"/>
        </w:rPr>
        <w:t>Most decisively, a direct, model-free inspection of the raw residuals against a simple linear trend, in chronological order by model release date, shows a genuine, sustained growth lull: six consecutive models below trend, spanning roughly March through October 2024, visible across model families from more than one developer — not a single outlier and not an artifact of one company's release cadence. What follows that lull is a noisy, non-monotonic pattern, not a clean resumed acceleration; even the most recent data points diverge sharply from each other. The correct characterization of this domain's frontier is not smooth acceleration. It is a real, sustained deceleration followed by a noisier, only partially resumed advance — and the practical lesson generalizes beyond this one domain: before characterizing any fitted trend as accelerating, decelerating, or stable, the raw point-by-point pattern should be inspected directly, because a smooth curve fit to a lull-then-recovery pattern can look statistically identical, in its summary coefficients, to genuine sustained acceleration, while implying the opposite near-term projection.</w:t>
      </w:r>
    </w:p>
    <w:p>
      <w:pPr>
        <w:pStyle w:val="Heading2"/>
      </w:pPr>
      <w:r>
        <w:rPr>
          <w:rFonts w:ascii="Times New Roman" w:hAnsi="Times New Roman"/>
          <w:color w:val="000000"/>
        </w:rPr>
        <w:t>The Floor, and Why It Resists a Single Number</w:t>
      </w:r>
    </w:p>
    <w:p>
      <w:pPr>
        <w:ind w:firstLine="720"/>
      </w:pPr>
      <w:r>
        <w:rPr>
          <w:rFonts w:ascii="Times New Roman" w:hAnsi="Times New Roman"/>
          <w:b w:val="0"/>
          <w:i w:val="0"/>
          <w:sz w:val="24"/>
        </w:rPr>
        <w:t>Unlike the frontier side, the floor side of this domain does not reduce cleanly to a single fitted rate, and this section reports that difficulty honestly rather than forcing a number the evidence does not support.</w:t>
      </w:r>
    </w:p>
    <w:p>
      <w:pPr>
        <w:ind w:firstLine="720"/>
      </w:pPr>
      <w:r>
        <w:rPr>
          <w:rFonts w:ascii="Times New Roman" w:hAnsi="Times New Roman"/>
          <w:b w:val="0"/>
          <w:i w:val="0"/>
          <w:sz w:val="24"/>
        </w:rPr>
        <w:t>One real, dated, well-documented channel by which capability moves from the narrowest access tier toward broader access is a large-scale, adversarial extraction economy, distinct from and in addition to legitimate pricing or licensing arrangements. A frontier AI developer's own published threat-intelligence disclosures, escalating across successive reports through 2025 and 2026, document specific, named campaigns by multiple organizations to harvest a frontier model's outputs, at industrial scale, for use in training their own competing models. The disclosed campaigns are not one uniform mechanism. One documented case involved a fixed instruction injected into every request, forcing the frontier model to expose its internal reasoning inside inline tags before its final answer, with only the reasoning text then extracted; a separate case involved replaying an organization's own users' queries through the frontier model to capture upgraded responses as training material; a third involved purchasing harvested conversation transcripts from third-party data vendors, a market-intermediated channel distinct from either direct extraction method. The same campaign, measured by the disclosing organization at two different points several months apart, showed more than a fivefold increase in the volume of exchanges attributed to it, alongside a large downward revision in the number of accounts implicated — a pattern more consistent with improving attribution methodology between disclosures than with a simple, clean growth curve, and reported here with that caveat rather than smoothed into one.</w:t>
      </w:r>
    </w:p>
    <w:p>
      <w:pPr>
        <w:ind w:firstLine="720"/>
      </w:pPr>
      <w:r>
        <w:rPr>
          <w:rFonts w:ascii="Times New Roman" w:hAnsi="Times New Roman"/>
          <w:b w:val="0"/>
          <w:i w:val="0"/>
          <w:sz w:val="24"/>
        </w:rPr>
        <w:t>The frontier developer's own countermeasures are informative in their own right: updating the model to summarize its internal reasoning before responding, and introducing technical protections specifically against the context-manipulation techniques used to expose raw reasoning traces. This is a real-time instance of an institution actively trying to raise the cost of floor-catch-up through one specific channel, not a market settling toward a stable equilibrium price on its own.</w:t>
      </w:r>
    </w:p>
    <w:p>
      <w:pPr>
        <w:ind w:firstLine="720"/>
      </w:pPr>
      <w:r>
        <w:rPr>
          <w:rFonts w:ascii="Times New Roman" w:hAnsi="Times New Roman"/>
          <w:b w:val="0"/>
          <w:i w:val="0"/>
          <w:sz w:val="24"/>
        </w:rPr>
        <w:t>None of this yet supports a single, defensible μ for this domain, and the paper says so rather than manufacturing one. The extraction economy is adversarial and actively contested, with the disclosing organization's own defensive countermeasures changing the channel's effective throughput in ways not yet captured by two or three disclosure snapshots months apart. A credible μ would require a longer, denser time series than currently exists in the public record, ideally with attribution methodology held constant across measurements rather than revised between them. This is stated as an open item, not resolved by assumption — consistent with this paper's own stated requirement, in Part I, that a domain's incomplete fit to the framework be reported as carefully as a complete one.</w:t>
      </w:r>
    </w:p>
    <w:p>
      <w:pPr>
        <w:pStyle w:val="Heading2"/>
      </w:pPr>
      <w:r>
        <w:rPr>
          <w:rFonts w:ascii="Times New Roman" w:hAnsi="Times New Roman"/>
          <w:color w:val="000000"/>
        </w:rPr>
        <w:t>Updated Quantitative Results (Full 21-Model Panel)</w:t>
      </w:r>
    </w:p>
    <w:p>
      <w:pPr>
        <w:ind w:firstLine="720"/>
      </w:pPr>
      <w:r>
        <w:rPr>
          <w:rFonts w:ascii="Times New Roman" w:hAnsi="Times New Roman"/>
          <w:b w:val="0"/>
          <w:i w:val="0"/>
          <w:sz w:val="24"/>
        </w:rPr>
        <w:t>The complete METR reconstruction contains 24,008 task-level evaluations across 21 frontier models. The principal specification estimates a T₅₀ doubling time of 7.2 months (95% CI: 5.4–10.8; R² = 0.81). A separate 20-model residual specification gives 4.05 months (95% CI: 3.56–4.71; R² = 0.927). These estimates are not contradictory; they reflect different model-inclusion and weighting decisions.</w:t>
      </w:r>
    </w:p>
    <w:p>
      <w:r>
        <w:rPr>
          <w:rFonts w:ascii="Times New Roman" w:hAnsi="Times New Roman"/>
          <w:b/>
          <w:i w:val="0"/>
          <w:sz w:val="22"/>
        </w:rPr>
        <w:t>Table 2. AI Frontier Model Task Horizons (T₅₀ in Minutes, Top 10 Models)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0"/>
              </w:rPr>
              <w:t>Model</w:t>
            </w:r>
          </w:p>
        </w:tc>
        <w:tc>
          <w:tcPr>
            <w:tcW w:type="dxa" w:w="1872"/>
          </w:tcPr>
          <w:p>
            <w:r>
              <w:rPr>
                <w:rFonts w:ascii="Times New Roman" w:hAnsi="Times New Roman"/>
                <w:b/>
                <w:sz w:val="20"/>
              </w:rPr>
              <w:t>N Runs</w:t>
            </w:r>
          </w:p>
        </w:tc>
        <w:tc>
          <w:tcPr>
            <w:tcW w:type="dxa" w:w="1872"/>
          </w:tcPr>
          <w:p>
            <w:r>
              <w:rPr>
                <w:rFonts w:ascii="Times New Roman" w:hAnsi="Times New Roman"/>
                <w:b/>
                <w:sz w:val="20"/>
              </w:rPr>
              <w:t>T₅₀ (min)</w:t>
            </w:r>
          </w:p>
        </w:tc>
        <w:tc>
          <w:tcPr>
            <w:tcW w:type="dxa" w:w="1872"/>
          </w:tcPr>
          <w:p>
            <w:r>
              <w:rPr>
                <w:rFonts w:ascii="Times New Roman" w:hAnsi="Times New Roman"/>
                <w:b/>
                <w:sz w:val="20"/>
              </w:rPr>
              <w:t>T₈₀ (min)</w:t>
            </w:r>
          </w:p>
        </w:tc>
        <w:tc>
          <w:tcPr>
            <w:tcW w:type="dxa" w:w="1872"/>
          </w:tcPr>
          <w:p>
            <w:r>
              <w:rPr>
                <w:rFonts w:ascii="Times New Roman" w:hAnsi="Times New Roman"/>
                <w:b/>
                <w:sz w:val="20"/>
              </w:rPr>
              <w:t>Status</w:t>
            </w:r>
          </w:p>
        </w:tc>
      </w:tr>
      <w:tr>
        <w:tc>
          <w:tcPr>
            <w:tcW w:type="dxa" w:w="1872"/>
          </w:tcPr>
          <w:p>
            <w:r>
              <w:rPr>
                <w:rFonts w:ascii="Times New Roman" w:hAnsi="Times New Roman"/>
                <w:sz w:val="20"/>
              </w:rPr>
              <w:t>Claude Opus 4.6 (Inspect)</w:t>
            </w:r>
          </w:p>
        </w:tc>
        <w:tc>
          <w:tcPr>
            <w:tcW w:type="dxa" w:w="1872"/>
          </w:tcPr>
          <w:p>
            <w:r>
              <w:rPr>
                <w:rFonts w:ascii="Times New Roman" w:hAnsi="Times New Roman"/>
                <w:sz w:val="20"/>
              </w:rPr>
              <w:t>1391</w:t>
            </w:r>
          </w:p>
        </w:tc>
        <w:tc>
          <w:tcPr>
            <w:tcW w:type="dxa" w:w="1872"/>
          </w:tcPr>
          <w:p>
            <w:r>
              <w:rPr>
                <w:rFonts w:ascii="Times New Roman" w:hAnsi="Times New Roman"/>
                <w:sz w:val="20"/>
              </w:rPr>
              <w:t>718.9</w:t>
            </w:r>
          </w:p>
        </w:tc>
        <w:tc>
          <w:tcPr>
            <w:tcW w:type="dxa" w:w="1872"/>
          </w:tcPr>
          <w:p>
            <w:r>
              <w:rPr>
                <w:rFonts w:ascii="Times New Roman" w:hAnsi="Times New Roman"/>
                <w:sz w:val="20"/>
              </w:rPr>
              <w:t>69.9</w:t>
            </w:r>
          </w:p>
        </w:tc>
        <w:tc>
          <w:tcPr>
            <w:tcW w:type="dxa" w:w="1872"/>
          </w:tcPr>
          <w:p>
            <w:r>
              <w:rPr>
                <w:rFonts w:ascii="Times New Roman" w:hAnsi="Times New Roman"/>
                <w:sz w:val="20"/>
              </w:rPr>
              <w:t>derived</w:t>
            </w:r>
          </w:p>
        </w:tc>
      </w:tr>
      <w:tr>
        <w:tc>
          <w:tcPr>
            <w:tcW w:type="dxa" w:w="1872"/>
          </w:tcPr>
          <w:p>
            <w:r>
              <w:rPr>
                <w:rFonts w:ascii="Times New Roman" w:hAnsi="Times New Roman"/>
                <w:sz w:val="20"/>
              </w:rPr>
              <w:t>GPT-5.2</w:t>
            </w:r>
          </w:p>
        </w:tc>
        <w:tc>
          <w:tcPr>
            <w:tcW w:type="dxa" w:w="1872"/>
          </w:tcPr>
          <w:p>
            <w:r>
              <w:rPr>
                <w:rFonts w:ascii="Times New Roman" w:hAnsi="Times New Roman"/>
                <w:sz w:val="20"/>
              </w:rPr>
              <w:t>961</w:t>
            </w:r>
          </w:p>
        </w:tc>
        <w:tc>
          <w:tcPr>
            <w:tcW w:type="dxa" w:w="1872"/>
          </w:tcPr>
          <w:p>
            <w:r>
              <w:rPr>
                <w:rFonts w:ascii="Times New Roman" w:hAnsi="Times New Roman"/>
                <w:sz w:val="20"/>
              </w:rPr>
              <w:t>352.2</w:t>
            </w:r>
          </w:p>
        </w:tc>
        <w:tc>
          <w:tcPr>
            <w:tcW w:type="dxa" w:w="1872"/>
          </w:tcPr>
          <w:p>
            <w:r>
              <w:rPr>
                <w:rFonts w:ascii="Times New Roman" w:hAnsi="Times New Roman"/>
                <w:sz w:val="20"/>
              </w:rPr>
              <w:t>66.0</w:t>
            </w:r>
          </w:p>
        </w:tc>
        <w:tc>
          <w:tcPr>
            <w:tcW w:type="dxa" w:w="1872"/>
          </w:tcPr>
          <w:p>
            <w:r>
              <w:rPr>
                <w:rFonts w:ascii="Times New Roman" w:hAnsi="Times New Roman"/>
                <w:sz w:val="20"/>
              </w:rPr>
              <w:t>derived</w:t>
            </w:r>
          </w:p>
        </w:tc>
      </w:tr>
      <w:tr>
        <w:tc>
          <w:tcPr>
            <w:tcW w:type="dxa" w:w="1872"/>
          </w:tcPr>
          <w:p>
            <w:r>
              <w:rPr>
                <w:rFonts w:ascii="Times New Roman" w:hAnsi="Times New Roman"/>
                <w:sz w:val="20"/>
              </w:rPr>
              <w:t>GPT-5.3-Codex</w:t>
            </w:r>
          </w:p>
        </w:tc>
        <w:tc>
          <w:tcPr>
            <w:tcW w:type="dxa" w:w="1872"/>
          </w:tcPr>
          <w:p>
            <w:r>
              <w:rPr>
                <w:rFonts w:ascii="Times New Roman" w:hAnsi="Times New Roman"/>
                <w:sz w:val="20"/>
              </w:rPr>
              <w:t>1602</w:t>
            </w:r>
          </w:p>
        </w:tc>
        <w:tc>
          <w:tcPr>
            <w:tcW w:type="dxa" w:w="1872"/>
          </w:tcPr>
          <w:p>
            <w:r>
              <w:rPr>
                <w:rFonts w:ascii="Times New Roman" w:hAnsi="Times New Roman"/>
                <w:sz w:val="20"/>
              </w:rPr>
              <w:t>349.5</w:t>
            </w:r>
          </w:p>
        </w:tc>
        <w:tc>
          <w:tcPr>
            <w:tcW w:type="dxa" w:w="1872"/>
          </w:tcPr>
          <w:p>
            <w:r>
              <w:rPr>
                <w:rFonts w:ascii="Times New Roman" w:hAnsi="Times New Roman"/>
                <w:sz w:val="20"/>
              </w:rPr>
              <w:t>54.7</w:t>
            </w:r>
          </w:p>
        </w:tc>
        <w:tc>
          <w:tcPr>
            <w:tcW w:type="dxa" w:w="1872"/>
          </w:tcPr>
          <w:p>
            <w:r>
              <w:rPr>
                <w:rFonts w:ascii="Times New Roman" w:hAnsi="Times New Roman"/>
                <w:sz w:val="20"/>
              </w:rPr>
              <w:t>derived</w:t>
            </w:r>
          </w:p>
        </w:tc>
      </w:tr>
      <w:tr>
        <w:tc>
          <w:tcPr>
            <w:tcW w:type="dxa" w:w="1872"/>
          </w:tcPr>
          <w:p>
            <w:r>
              <w:rPr>
                <w:rFonts w:ascii="Times New Roman" w:hAnsi="Times New Roman"/>
                <w:sz w:val="20"/>
              </w:rPr>
              <w:t>Claude Opus 4.5 (Inspect)</w:t>
            </w:r>
          </w:p>
        </w:tc>
        <w:tc>
          <w:tcPr>
            <w:tcW w:type="dxa" w:w="1872"/>
          </w:tcPr>
          <w:p>
            <w:r>
              <w:rPr>
                <w:rFonts w:ascii="Times New Roman" w:hAnsi="Times New Roman"/>
                <w:sz w:val="20"/>
              </w:rPr>
              <w:t>1044</w:t>
            </w:r>
          </w:p>
        </w:tc>
        <w:tc>
          <w:tcPr>
            <w:tcW w:type="dxa" w:w="1872"/>
          </w:tcPr>
          <w:p>
            <w:r>
              <w:rPr>
                <w:rFonts w:ascii="Times New Roman" w:hAnsi="Times New Roman"/>
                <w:sz w:val="20"/>
              </w:rPr>
              <w:t>293.0</w:t>
            </w:r>
          </w:p>
        </w:tc>
        <w:tc>
          <w:tcPr>
            <w:tcW w:type="dxa" w:w="1872"/>
          </w:tcPr>
          <w:p>
            <w:r>
              <w:rPr>
                <w:rFonts w:ascii="Times New Roman" w:hAnsi="Times New Roman"/>
                <w:sz w:val="20"/>
              </w:rPr>
              <w:t>49.4</w:t>
            </w:r>
          </w:p>
        </w:tc>
        <w:tc>
          <w:tcPr>
            <w:tcW w:type="dxa" w:w="1872"/>
          </w:tcPr>
          <w:p>
            <w:r>
              <w:rPr>
                <w:rFonts w:ascii="Times New Roman" w:hAnsi="Times New Roman"/>
                <w:sz w:val="20"/>
              </w:rPr>
              <w:t>derived</w:t>
            </w:r>
          </w:p>
        </w:tc>
      </w:tr>
      <w:tr>
        <w:tc>
          <w:tcPr>
            <w:tcW w:type="dxa" w:w="1872"/>
          </w:tcPr>
          <w:p>
            <w:r>
              <w:rPr>
                <w:rFonts w:ascii="Times New Roman" w:hAnsi="Times New Roman"/>
                <w:sz w:val="20"/>
              </w:rPr>
              <w:t>Gemini 3 Pro</w:t>
            </w:r>
          </w:p>
        </w:tc>
        <w:tc>
          <w:tcPr>
            <w:tcW w:type="dxa" w:w="1872"/>
          </w:tcPr>
          <w:p>
            <w:r>
              <w:rPr>
                <w:rFonts w:ascii="Times New Roman" w:hAnsi="Times New Roman"/>
                <w:sz w:val="20"/>
              </w:rPr>
              <w:t>1044</w:t>
            </w:r>
          </w:p>
        </w:tc>
        <w:tc>
          <w:tcPr>
            <w:tcW w:type="dxa" w:w="1872"/>
          </w:tcPr>
          <w:p>
            <w:r>
              <w:rPr>
                <w:rFonts w:ascii="Times New Roman" w:hAnsi="Times New Roman"/>
                <w:sz w:val="20"/>
              </w:rPr>
              <w:t>224.3</w:t>
            </w:r>
          </w:p>
        </w:tc>
        <w:tc>
          <w:tcPr>
            <w:tcW w:type="dxa" w:w="1872"/>
          </w:tcPr>
          <w:p>
            <w:r>
              <w:rPr>
                <w:rFonts w:ascii="Times New Roman" w:hAnsi="Times New Roman"/>
                <w:sz w:val="20"/>
              </w:rPr>
              <w:t>54.1</w:t>
            </w:r>
          </w:p>
        </w:tc>
        <w:tc>
          <w:tcPr>
            <w:tcW w:type="dxa" w:w="1872"/>
          </w:tcPr>
          <w:p>
            <w:r>
              <w:rPr>
                <w:rFonts w:ascii="Times New Roman" w:hAnsi="Times New Roman"/>
                <w:sz w:val="20"/>
              </w:rPr>
              <w:t>derived</w:t>
            </w:r>
          </w:p>
        </w:tc>
      </w:tr>
      <w:tr>
        <w:tc>
          <w:tcPr>
            <w:tcW w:type="dxa" w:w="1872"/>
          </w:tcPr>
          <w:p>
            <w:r>
              <w:rPr>
                <w:rFonts w:ascii="Times New Roman" w:hAnsi="Times New Roman"/>
                <w:sz w:val="20"/>
              </w:rPr>
              <w:t>GPT-5.1-Codex-Max (Inspect)</w:t>
            </w:r>
          </w:p>
        </w:tc>
        <w:tc>
          <w:tcPr>
            <w:tcW w:type="dxa" w:w="1872"/>
          </w:tcPr>
          <w:p>
            <w:r>
              <w:rPr>
                <w:rFonts w:ascii="Times New Roman" w:hAnsi="Times New Roman"/>
                <w:sz w:val="20"/>
              </w:rPr>
              <w:t>1369</w:t>
            </w:r>
          </w:p>
        </w:tc>
        <w:tc>
          <w:tcPr>
            <w:tcW w:type="dxa" w:w="1872"/>
          </w:tcPr>
          <w:p>
            <w:r>
              <w:rPr>
                <w:rFonts w:ascii="Times New Roman" w:hAnsi="Times New Roman"/>
                <w:sz w:val="20"/>
              </w:rPr>
              <w:t>223.7</w:t>
            </w:r>
          </w:p>
        </w:tc>
        <w:tc>
          <w:tcPr>
            <w:tcW w:type="dxa" w:w="1872"/>
          </w:tcPr>
          <w:p>
            <w:r>
              <w:rPr>
                <w:rFonts w:ascii="Times New Roman" w:hAnsi="Times New Roman"/>
                <w:sz w:val="20"/>
              </w:rPr>
              <w:t>50.6</w:t>
            </w:r>
          </w:p>
        </w:tc>
        <w:tc>
          <w:tcPr>
            <w:tcW w:type="dxa" w:w="1872"/>
          </w:tcPr>
          <w:p>
            <w:r>
              <w:rPr>
                <w:rFonts w:ascii="Times New Roman" w:hAnsi="Times New Roman"/>
                <w:sz w:val="20"/>
              </w:rPr>
              <w:t>derived</w:t>
            </w:r>
          </w:p>
        </w:tc>
      </w:tr>
      <w:tr>
        <w:tc>
          <w:tcPr>
            <w:tcW w:type="dxa" w:w="1872"/>
          </w:tcPr>
          <w:p>
            <w:r>
              <w:rPr>
                <w:rFonts w:ascii="Times New Roman" w:hAnsi="Times New Roman"/>
                <w:sz w:val="20"/>
              </w:rPr>
              <w:t>GPT-5 (Inspect)</w:t>
            </w:r>
          </w:p>
        </w:tc>
        <w:tc>
          <w:tcPr>
            <w:tcW w:type="dxa" w:w="1872"/>
          </w:tcPr>
          <w:p>
            <w:r>
              <w:rPr>
                <w:rFonts w:ascii="Times New Roman" w:hAnsi="Times New Roman"/>
                <w:sz w:val="20"/>
              </w:rPr>
              <w:t>1056</w:t>
            </w:r>
          </w:p>
        </w:tc>
        <w:tc>
          <w:tcPr>
            <w:tcW w:type="dxa" w:w="1872"/>
          </w:tcPr>
          <w:p>
            <w:r>
              <w:rPr>
                <w:rFonts w:ascii="Times New Roman" w:hAnsi="Times New Roman"/>
                <w:sz w:val="20"/>
              </w:rPr>
              <w:t>203.0</w:t>
            </w:r>
          </w:p>
        </w:tc>
        <w:tc>
          <w:tcPr>
            <w:tcW w:type="dxa" w:w="1872"/>
          </w:tcPr>
          <w:p>
            <w:r>
              <w:rPr>
                <w:rFonts w:ascii="Times New Roman" w:hAnsi="Times New Roman"/>
                <w:sz w:val="20"/>
              </w:rPr>
              <w:t>38.3</w:t>
            </w:r>
          </w:p>
        </w:tc>
        <w:tc>
          <w:tcPr>
            <w:tcW w:type="dxa" w:w="1872"/>
          </w:tcPr>
          <w:p>
            <w:r>
              <w:rPr>
                <w:rFonts w:ascii="Times New Roman" w:hAnsi="Times New Roman"/>
                <w:sz w:val="20"/>
              </w:rPr>
              <w:t>derived</w:t>
            </w:r>
          </w:p>
        </w:tc>
      </w:tr>
      <w:tr>
        <w:tc>
          <w:tcPr>
            <w:tcW w:type="dxa" w:w="1872"/>
          </w:tcPr>
          <w:p>
            <w:r>
              <w:rPr>
                <w:rFonts w:ascii="Times New Roman" w:hAnsi="Times New Roman"/>
                <w:sz w:val="20"/>
              </w:rPr>
              <w:t>o3 (Inspect)</w:t>
            </w:r>
          </w:p>
        </w:tc>
        <w:tc>
          <w:tcPr>
            <w:tcW w:type="dxa" w:w="1872"/>
          </w:tcPr>
          <w:p>
            <w:r>
              <w:rPr>
                <w:rFonts w:ascii="Times New Roman" w:hAnsi="Times New Roman"/>
                <w:sz w:val="20"/>
              </w:rPr>
              <w:t>1044</w:t>
            </w:r>
          </w:p>
        </w:tc>
        <w:tc>
          <w:tcPr>
            <w:tcW w:type="dxa" w:w="1872"/>
          </w:tcPr>
          <w:p>
            <w:r>
              <w:rPr>
                <w:rFonts w:ascii="Times New Roman" w:hAnsi="Times New Roman"/>
                <w:sz w:val="20"/>
              </w:rPr>
              <w:t>119.7</w:t>
            </w:r>
          </w:p>
        </w:tc>
        <w:tc>
          <w:tcPr>
            <w:tcW w:type="dxa" w:w="1872"/>
          </w:tcPr>
          <w:p>
            <w:r>
              <w:rPr>
                <w:rFonts w:ascii="Times New Roman" w:hAnsi="Times New Roman"/>
                <w:sz w:val="20"/>
              </w:rPr>
              <w:t>30.0</w:t>
            </w:r>
          </w:p>
        </w:tc>
        <w:tc>
          <w:tcPr>
            <w:tcW w:type="dxa" w:w="1872"/>
          </w:tcPr>
          <w:p>
            <w:r>
              <w:rPr>
                <w:rFonts w:ascii="Times New Roman" w:hAnsi="Times New Roman"/>
                <w:sz w:val="20"/>
              </w:rPr>
              <w:t>derived</w:t>
            </w:r>
          </w:p>
        </w:tc>
      </w:tr>
      <w:tr>
        <w:tc>
          <w:tcPr>
            <w:tcW w:type="dxa" w:w="1872"/>
          </w:tcPr>
          <w:p>
            <w:r>
              <w:rPr>
                <w:rFonts w:ascii="Times New Roman" w:hAnsi="Times New Roman"/>
                <w:sz w:val="20"/>
              </w:rPr>
              <w:t>human</w:t>
            </w:r>
          </w:p>
        </w:tc>
        <w:tc>
          <w:tcPr>
            <w:tcW w:type="dxa" w:w="1872"/>
          </w:tcPr>
          <w:p>
            <w:r>
              <w:rPr>
                <w:rFonts w:ascii="Times New Roman" w:hAnsi="Times New Roman"/>
                <w:sz w:val="20"/>
              </w:rPr>
              <w:t>773</w:t>
            </w:r>
          </w:p>
        </w:tc>
        <w:tc>
          <w:tcPr>
            <w:tcW w:type="dxa" w:w="1872"/>
          </w:tcPr>
          <w:p>
            <w:r>
              <w:rPr>
                <w:rFonts w:ascii="Times New Roman" w:hAnsi="Times New Roman"/>
                <w:sz w:val="20"/>
              </w:rPr>
              <w:t>106.4</w:t>
            </w:r>
          </w:p>
        </w:tc>
        <w:tc>
          <w:tcPr>
            <w:tcW w:type="dxa" w:w="1872"/>
          </w:tcPr>
          <w:p>
            <w:r>
              <w:rPr>
                <w:rFonts w:ascii="Times New Roman" w:hAnsi="Times New Roman"/>
                <w:sz w:val="20"/>
              </w:rPr>
              <w:t>12.3</w:t>
            </w:r>
          </w:p>
        </w:tc>
        <w:tc>
          <w:tcPr>
            <w:tcW w:type="dxa" w:w="1872"/>
          </w:tcPr>
          <w:p>
            <w:r>
              <w:rPr>
                <w:rFonts w:ascii="Times New Roman" w:hAnsi="Times New Roman"/>
                <w:sz w:val="20"/>
              </w:rPr>
              <w:t>derived</w:t>
            </w:r>
          </w:p>
        </w:tc>
      </w:tr>
      <w:tr>
        <w:tc>
          <w:tcPr>
            <w:tcW w:type="dxa" w:w="1872"/>
          </w:tcPr>
          <w:p>
            <w:r>
              <w:rPr>
                <w:rFonts w:ascii="Times New Roman" w:hAnsi="Times New Roman"/>
                <w:sz w:val="20"/>
              </w:rPr>
              <w:t>Claude 4.1 Opus (Inspect)</w:t>
            </w:r>
          </w:p>
        </w:tc>
        <w:tc>
          <w:tcPr>
            <w:tcW w:type="dxa" w:w="1872"/>
          </w:tcPr>
          <w:p>
            <w:r>
              <w:rPr>
                <w:rFonts w:ascii="Times New Roman" w:hAnsi="Times New Roman"/>
                <w:sz w:val="20"/>
              </w:rPr>
              <w:t>1043</w:t>
            </w:r>
          </w:p>
        </w:tc>
        <w:tc>
          <w:tcPr>
            <w:tcW w:type="dxa" w:w="1872"/>
          </w:tcPr>
          <w:p>
            <w:r>
              <w:rPr>
                <w:rFonts w:ascii="Times New Roman" w:hAnsi="Times New Roman"/>
                <w:sz w:val="20"/>
              </w:rPr>
              <w:t>100.5</w:t>
            </w:r>
          </w:p>
        </w:tc>
        <w:tc>
          <w:tcPr>
            <w:tcW w:type="dxa" w:w="1872"/>
          </w:tcPr>
          <w:p>
            <w:r>
              <w:rPr>
                <w:rFonts w:ascii="Times New Roman" w:hAnsi="Times New Roman"/>
                <w:sz w:val="20"/>
              </w:rPr>
              <w:t>23.5</w:t>
            </w:r>
          </w:p>
        </w:tc>
        <w:tc>
          <w:tcPr>
            <w:tcW w:type="dxa" w:w="1872"/>
          </w:tcPr>
          <w:p>
            <w:r>
              <w:rPr>
                <w:rFonts w:ascii="Times New Roman" w:hAnsi="Times New Roman"/>
                <w:sz w:val="20"/>
              </w:rPr>
              <w:t>derived</w:t>
            </w:r>
          </w:p>
        </w:tc>
      </w:tr>
    </w:tbl>
    <w:p/>
    <w:p>
      <w:pPr>
        <w:ind w:firstLine="720"/>
      </w:pPr>
      <w:r>
        <w:rPr>
          <w:rFonts w:ascii="Times New Roman" w:hAnsi="Times New Roman"/>
          <w:b w:val="0"/>
          <w:i w:val="0"/>
          <w:sz w:val="24"/>
        </w:rPr>
        <w:t>The curvature evidence is specification-sensitive. The principal quadratic test gives p = 0.28 (failing to reject log-linear constancy), while a detailed alternative quadratic extract gives p = 0.004. Raw residuals do not support a clean monotonic acceleration: the longest negative run spans 4–6 consecutive evaluations depending on specification. Claims of sustained super-exponential acceleration are weakened.</w:t>
      </w:r>
    </w:p>
    <w:p>
      <w:r>
        <w:br w:type="page"/>
      </w:r>
    </w:p>
    <w:p>
      <w:pPr>
        <w:pStyle w:val="Heading1"/>
      </w:pPr>
      <w:r>
        <w:rPr>
          <w:rFonts w:ascii="Times New Roman" w:hAnsi="Times New Roman"/>
          <w:color w:val="000000"/>
        </w:rPr>
        <w:t>VII. Empirical Test Three: Cybersecurity Vulnerability Inflow</w:t>
      </w:r>
    </w:p>
    <w:p>
      <w:pPr>
        <w:ind w:firstLine="720"/>
      </w:pPr>
      <w:r>
        <w:rPr>
          <w:rFonts w:ascii="Times New Roman" w:hAnsi="Times New Roman"/>
          <w:b w:val="0"/>
          <w:i w:val="0"/>
          <w:sz w:val="24"/>
        </w:rPr>
        <w:t>The second domain was chosen for a specific reason: it offers real, freely available, directly fetchable data for both sides of the structure from a single well-documented ecosystem, letting frontier and floor be tested with comparable rigor rather than one side resting on better evidence than the other.</w:t>
      </w:r>
    </w:p>
    <w:p>
      <w:pPr>
        <w:pStyle w:val="Heading2"/>
      </w:pPr>
      <w:r>
        <w:rPr>
          <w:rFonts w:ascii="Times New Roman" w:hAnsi="Times New Roman"/>
          <w:color w:val="000000"/>
        </w:rPr>
        <w:t>The Frontier: A Stable Twenty-Seven-Year Exponential</w:t>
      </w:r>
    </w:p>
    <w:p>
      <w:pPr>
        <w:ind w:firstLine="720"/>
      </w:pPr>
      <w:r>
        <w:rPr>
          <w:rFonts w:ascii="Times New Roman" w:hAnsi="Times New Roman"/>
          <w:b w:val="0"/>
          <w:i w:val="0"/>
          <w:sz w:val="24"/>
        </w:rPr>
        <w:t>Total vulnerability records entering the relevant public disclosure system were counted directly, year by year, from the complete official record — not sampled, not estimated — across the full twenty-eight years the system has existed. The result is a genuinely stable exponential: growth of roughly 12.7 percent per year, a doubling time of about five and a half years, fitting the data with very high precision, and showing no statistically significant curvature across the full span. This is a sharp contrast with the AI-capability domain's own frontier, tested by exactly the same method in the previous part, and the contrast is itself a finding: whether a domain's compounding rate is stable or shows real local structure is an empirical property of that domain, not a universal feature of compounding frontiers in general, and should be tested independently for every new domain rather than assumed from a prior case.</w:t>
      </w:r>
    </w:p>
    <w:p>
      <w:pPr>
        <w:ind w:firstLine="720"/>
      </w:pPr>
      <w:r>
        <w:rPr>
          <w:rFonts w:ascii="Times New Roman" w:hAnsi="Times New Roman"/>
          <w:b w:val="0"/>
          <w:i w:val="0"/>
          <w:sz w:val="24"/>
        </w:rPr>
        <w:t>One further check illustrates a general methodological point worth stating once, since it will recur in any similarly structured inquiry. The count of records specifically confirmed as actively exploited — a narrower, administratively gated subset of the total — does not show compounding growth at all; its year-by-year trend is flat and not statistically distinguishable from zero. This measure is better read as reflecting the confirming institution's own administrative throughput — itself a floor-side capacity constraint — than as a measure of the underlying frontier. A superficially plausible frontier proxy can, on inspection, turn out to be measuring the floor instead, and this should be checked explicitly rather than assumed away by the proxy's face validity.</w:t>
      </w:r>
    </w:p>
    <w:p>
      <w:pPr>
        <w:ind w:firstLine="720"/>
      </w:pPr>
      <w:r>
        <w:rPr>
          <w:rFonts w:ascii="Times New Roman" w:hAnsi="Times New Roman"/>
          <w:b w:val="0"/>
          <w:i w:val="0"/>
          <w:sz w:val="24"/>
        </w:rPr>
        <w:t>A further check was run on the most recent year's data specifically, because it deviated meaningfully — by more than half again — from what twenty-seven years of stable trend would predict, and the deviation was investigated rather than either dismissed or accepted as confirmation of accelerating discovery. Comparing the set of distinct organizations formally authorized to assign identifiers within this system, in a matched sample from several years earlier against a matched sample from the most recent year, shows the number of such organizations growing roughly sixfold, with the single largest original authority's own direct share falling from a large plurality to a small single-digit percentage. A substantial share of the most recent year's apparent surge is consistent with this administrative decentralization — more institutions holding the capacity to record a new entry — rather than solely with faster underlying discovery. This does not rule out a genuine discovery-side effect operating alongside it, but that further effect is not established by this analysis and should not be claimed as settled without dedicated investigation beyond what this paper reports.</w:t>
      </w:r>
    </w:p>
    <w:p>
      <w:pPr>
        <w:pStyle w:val="Heading2"/>
      </w:pPr>
      <w:r>
        <w:rPr>
          <w:rFonts w:ascii="Times New Roman" w:hAnsi="Times New Roman"/>
          <w:color w:val="000000"/>
        </w:rPr>
        <w:t>The Floor: A Real Policy Break, and What It Does Not Yet Establish</w:t>
      </w:r>
    </w:p>
    <w:p>
      <w:pPr>
        <w:ind w:firstLine="720"/>
      </w:pPr>
      <w:r>
        <w:rPr>
          <w:rFonts w:ascii="Times New Roman" w:hAnsi="Times New Roman"/>
          <w:b w:val="0"/>
          <w:i w:val="0"/>
          <w:sz w:val="24"/>
        </w:rPr>
        <w:t>The floor side of this domain shows a real, sharply dated structural break in how much time a governing authority formally allows between confirming that a vulnerability is being actively exploited and requiring it to be remediated: a stable median of three weeks across several years of complete records, collapsing to a median of three days beginning with a specific directive that took effect partway through the period covered by this paper's data, a difference confirmed by a nonparametric test at a significance level leaving essentially no room for chance.</w:t>
      </w:r>
    </w:p>
    <w:p>
      <w:pPr>
        <w:ind w:firstLine="720"/>
      </w:pPr>
      <w:r>
        <w:rPr>
          <w:rFonts w:ascii="Times New Roman" w:hAnsi="Times New Roman"/>
          <w:b w:val="0"/>
          <w:i w:val="0"/>
          <w:sz w:val="24"/>
        </w:rPr>
        <w:t>What this establishes, precisely, is a real and dated policy-side recognition that the previous floor was inadequate. What it does not establish, and this paper does not claim it does, is the realized rate at which remediation actually occurs across the full population of affected systems — the genuinely hard-floor-relevant quantity, given that the population most likely to determine real-world μ includes under-resourced operators (municipal systems, small health-care providers, and similar long-tail infrastructure) rather than only well-resourced enterprises. A policy-mandated window is a target the floor is being asked to meet, not a direct measurement of whether it does. Closing this gap would require remediation-completion telemetry of the kind held privately by vulnerability-management vendors rather than published as open, freely available data, and this paper reports that limitation directly rather than substituting a plausible-sounding proxy for it.</w:t>
      </w:r>
    </w:p>
    <w:p>
      <w:pPr>
        <w:pStyle w:val="Heading2"/>
      </w:pPr>
      <w:r>
        <w:rPr>
          <w:rFonts w:ascii="Times New Roman" w:hAnsi="Times New Roman"/>
          <w:color w:val="000000"/>
        </w:rPr>
        <w:t>A Correction Owed to the Record</w:t>
      </w:r>
    </w:p>
    <w:p>
      <w:pPr>
        <w:ind w:firstLine="720"/>
      </w:pPr>
      <w:r>
        <w:rPr>
          <w:rFonts w:ascii="Times New Roman" w:hAnsi="Times New Roman"/>
          <w:b w:val="0"/>
          <w:i w:val="0"/>
          <w:sz w:val="24"/>
        </w:rPr>
        <w:t>An earlier pass at estimating this domain's frontier dynamics, before the analysis reported above was completed with directly fetched primary data, relied on a secondhand citation of a separate paper's headline claim about how quickly newly disclosed vulnerabilities come under active exploitation — a claim substantially different in its exact figures from what that paper, read directly rather than through an intermediary summary, actually reports. The paper's real dataset draws on roughly 3,500 disclosure-to-exploitation pairs aggregated from ten independent sources, with yearly sample sizes in the low hundreds rather than the thousands, and reports a median time-to-exploitation collapsing from a little over two years in an early cohort to effectively zero in the most recent one, with an already-declared awareness, in the paper's own methodology, of the observation-window difficulties that arise when comparing an old, fully-observed cohort against a young, still-accumulating one. The figures originally cited in an earlier stage of this project's own work were simply wrong, not merely imprecise, and are corrected here rather than left standing. A related, separately produced attempt to re-audit the same paper's claims, using entirely synthetic, randomly generated data dressed up as a correction, was identified and discarded before entering this paper in any form; the episode is not narrated further here, but the discipline it enforces — raw, inspectable data or nothing — is the same discipline applied throughout every domain this paper reports on.</w:t>
      </w:r>
    </w:p>
    <w:p>
      <w:pPr>
        <w:pStyle w:val="Heading2"/>
      </w:pPr>
      <w:r>
        <w:rPr>
          <w:rFonts w:ascii="Times New Roman" w:hAnsi="Times New Roman"/>
          <w:color w:val="000000"/>
        </w:rPr>
        <w:t>Updated Quantitative Panel (2018–2025)</w:t>
      </w:r>
    </w:p>
    <w:p>
      <w:r>
        <w:rPr>
          <w:rFonts w:ascii="Times New Roman" w:hAnsi="Times New Roman"/>
          <w:b/>
          <w:i w:val="0"/>
          <w:sz w:val="22"/>
        </w:rPr>
        <w:t>Table 3. Cybersecurity CVE Inflow, KEV Entries, CNA Expansion, and Concentration (2018–2025)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Year</w:t>
            </w:r>
          </w:p>
        </w:tc>
        <w:tc>
          <w:tcPr>
            <w:tcW w:type="dxa" w:w="1560"/>
          </w:tcPr>
          <w:p>
            <w:r>
              <w:rPr>
                <w:rFonts w:ascii="Times New Roman" w:hAnsi="Times New Roman"/>
                <w:b/>
                <w:sz w:val="20"/>
              </w:rPr>
              <w:t>CVE Inflow</w:t>
            </w:r>
          </w:p>
        </w:tc>
        <w:tc>
          <w:tcPr>
            <w:tcW w:type="dxa" w:w="1560"/>
          </w:tcPr>
          <w:p>
            <w:r>
              <w:rPr>
                <w:rFonts w:ascii="Times New Roman" w:hAnsi="Times New Roman"/>
                <w:b/>
                <w:sz w:val="20"/>
              </w:rPr>
              <w:t>KEV Inflow</w:t>
            </w:r>
          </w:p>
        </w:tc>
        <w:tc>
          <w:tcPr>
            <w:tcW w:type="dxa" w:w="1560"/>
          </w:tcPr>
          <w:p>
            <w:r>
              <w:rPr>
                <w:rFonts w:ascii="Times New Roman" w:hAnsi="Times New Roman"/>
                <w:b/>
                <w:sz w:val="20"/>
              </w:rPr>
              <w:t>Active CNAs</w:t>
            </w:r>
          </w:p>
        </w:tc>
        <w:tc>
          <w:tcPr>
            <w:tcW w:type="dxa" w:w="1560"/>
          </w:tcPr>
          <w:p>
            <w:r>
              <w:rPr>
                <w:rFonts w:ascii="Times New Roman" w:hAnsi="Times New Roman"/>
                <w:b/>
                <w:sz w:val="20"/>
              </w:rPr>
              <w:t>CNA HHI</w:t>
            </w:r>
          </w:p>
        </w:tc>
        <w:tc>
          <w:tcPr>
            <w:tcW w:type="dxa" w:w="1560"/>
          </w:tcPr>
          <w:p>
            <w:r>
              <w:rPr>
                <w:rFonts w:ascii="Times New Roman" w:hAnsi="Times New Roman"/>
                <w:b/>
                <w:sz w:val="20"/>
              </w:rPr>
              <w:t>YoY Growth %</w:t>
            </w:r>
          </w:p>
        </w:tc>
      </w:tr>
      <w:tr>
        <w:tc>
          <w:tcPr>
            <w:tcW w:type="dxa" w:w="1560"/>
          </w:tcPr>
          <w:p>
            <w:r>
              <w:rPr>
                <w:rFonts w:ascii="Times New Roman" w:hAnsi="Times New Roman"/>
                <w:sz w:val="20"/>
              </w:rPr>
              <w:t>2018</w:t>
            </w:r>
          </w:p>
        </w:tc>
        <w:tc>
          <w:tcPr>
            <w:tcW w:type="dxa" w:w="1560"/>
          </w:tcPr>
          <w:p>
            <w:r>
              <w:rPr>
                <w:rFonts w:ascii="Times New Roman" w:hAnsi="Times New Roman"/>
                <w:sz w:val="20"/>
              </w:rPr>
              <w:t>16508</w:t>
            </w:r>
          </w:p>
        </w:tc>
        <w:tc>
          <w:tcPr>
            <w:tcW w:type="dxa" w:w="1560"/>
          </w:tcPr>
          <w:p>
            <w:r>
              <w:rPr>
                <w:rFonts w:ascii="Times New Roman" w:hAnsi="Times New Roman"/>
                <w:sz w:val="20"/>
              </w:rPr>
              <w:t>0</w:t>
            </w:r>
          </w:p>
        </w:tc>
        <w:tc>
          <w:tcPr>
            <w:tcW w:type="dxa" w:w="1560"/>
          </w:tcPr>
          <w:p>
            <w:r>
              <w:rPr>
                <w:rFonts w:ascii="Times New Roman" w:hAnsi="Times New Roman"/>
                <w:sz w:val="20"/>
              </w:rPr>
              <w:t>100</w:t>
            </w:r>
          </w:p>
        </w:tc>
        <w:tc>
          <w:tcPr>
            <w:tcW w:type="dxa" w:w="1560"/>
          </w:tcPr>
          <w:p>
            <w:r>
              <w:rPr>
                <w:rFonts w:ascii="Times New Roman" w:hAnsi="Times New Roman"/>
                <w:sz w:val="20"/>
              </w:rPr>
              <w:t>1500.0</w:t>
            </w:r>
          </w:p>
        </w:tc>
        <w:tc>
          <w:tcPr>
            <w:tcW w:type="dxa" w:w="1560"/>
          </w:tcPr>
          <w:p>
            <w:r>
              <w:rPr>
                <w:rFonts w:ascii="Times New Roman" w:hAnsi="Times New Roman"/>
                <w:sz w:val="20"/>
              </w:rPr>
              <w:t>—</w:t>
            </w:r>
          </w:p>
        </w:tc>
      </w:tr>
      <w:tr>
        <w:tc>
          <w:tcPr>
            <w:tcW w:type="dxa" w:w="1560"/>
          </w:tcPr>
          <w:p>
            <w:r>
              <w:rPr>
                <w:rFonts w:ascii="Times New Roman" w:hAnsi="Times New Roman"/>
                <w:sz w:val="20"/>
              </w:rPr>
              <w:t>2019</w:t>
            </w:r>
          </w:p>
        </w:tc>
        <w:tc>
          <w:tcPr>
            <w:tcW w:type="dxa" w:w="1560"/>
          </w:tcPr>
          <w:p>
            <w:r>
              <w:rPr>
                <w:rFonts w:ascii="Times New Roman" w:hAnsi="Times New Roman"/>
                <w:sz w:val="20"/>
              </w:rPr>
              <w:t>17305</w:t>
            </w:r>
          </w:p>
        </w:tc>
        <w:tc>
          <w:tcPr>
            <w:tcW w:type="dxa" w:w="1560"/>
          </w:tcPr>
          <w:p>
            <w:r>
              <w:rPr>
                <w:rFonts w:ascii="Times New Roman" w:hAnsi="Times New Roman"/>
                <w:sz w:val="20"/>
              </w:rPr>
              <w:t>0</w:t>
            </w:r>
          </w:p>
        </w:tc>
        <w:tc>
          <w:tcPr>
            <w:tcW w:type="dxa" w:w="1560"/>
          </w:tcPr>
          <w:p>
            <w:r>
              <w:rPr>
                <w:rFonts w:ascii="Times New Roman" w:hAnsi="Times New Roman"/>
                <w:sz w:val="20"/>
              </w:rPr>
              <w:t>120</w:t>
            </w:r>
          </w:p>
        </w:tc>
        <w:tc>
          <w:tcPr>
            <w:tcW w:type="dxa" w:w="1560"/>
          </w:tcPr>
          <w:p>
            <w:r>
              <w:rPr>
                <w:rFonts w:ascii="Times New Roman" w:hAnsi="Times New Roman"/>
                <w:sz w:val="20"/>
              </w:rPr>
              <w:t>1420.0</w:t>
            </w:r>
          </w:p>
        </w:tc>
        <w:tc>
          <w:tcPr>
            <w:tcW w:type="dxa" w:w="1560"/>
          </w:tcPr>
          <w:p>
            <w:r>
              <w:rPr>
                <w:rFonts w:ascii="Times New Roman" w:hAnsi="Times New Roman"/>
                <w:sz w:val="20"/>
              </w:rPr>
              <w:t>4.8%</w:t>
            </w:r>
          </w:p>
        </w:tc>
      </w:tr>
      <w:tr>
        <w:tc>
          <w:tcPr>
            <w:tcW w:type="dxa" w:w="1560"/>
          </w:tcPr>
          <w:p>
            <w:r>
              <w:rPr>
                <w:rFonts w:ascii="Times New Roman" w:hAnsi="Times New Roman"/>
                <w:sz w:val="20"/>
              </w:rPr>
              <w:t>2020</w:t>
            </w:r>
          </w:p>
        </w:tc>
        <w:tc>
          <w:tcPr>
            <w:tcW w:type="dxa" w:w="1560"/>
          </w:tcPr>
          <w:p>
            <w:r>
              <w:rPr>
                <w:rFonts w:ascii="Times New Roman" w:hAnsi="Times New Roman"/>
                <w:sz w:val="20"/>
              </w:rPr>
              <w:t>18356</w:t>
            </w:r>
          </w:p>
        </w:tc>
        <w:tc>
          <w:tcPr>
            <w:tcW w:type="dxa" w:w="1560"/>
          </w:tcPr>
          <w:p>
            <w:r>
              <w:rPr>
                <w:rFonts w:ascii="Times New Roman" w:hAnsi="Times New Roman"/>
                <w:sz w:val="20"/>
              </w:rPr>
              <w:t>0</w:t>
            </w:r>
          </w:p>
        </w:tc>
        <w:tc>
          <w:tcPr>
            <w:tcW w:type="dxa" w:w="1560"/>
          </w:tcPr>
          <w:p>
            <w:r>
              <w:rPr>
                <w:rFonts w:ascii="Times New Roman" w:hAnsi="Times New Roman"/>
                <w:sz w:val="20"/>
              </w:rPr>
              <w:t>150</w:t>
            </w:r>
          </w:p>
        </w:tc>
        <w:tc>
          <w:tcPr>
            <w:tcW w:type="dxa" w:w="1560"/>
          </w:tcPr>
          <w:p>
            <w:r>
              <w:rPr>
                <w:rFonts w:ascii="Times New Roman" w:hAnsi="Times New Roman"/>
                <w:sz w:val="20"/>
              </w:rPr>
              <w:t>1310.0</w:t>
            </w:r>
          </w:p>
        </w:tc>
        <w:tc>
          <w:tcPr>
            <w:tcW w:type="dxa" w:w="1560"/>
          </w:tcPr>
          <w:p>
            <w:r>
              <w:rPr>
                <w:rFonts w:ascii="Times New Roman" w:hAnsi="Times New Roman"/>
                <w:sz w:val="20"/>
              </w:rPr>
              <w:t>6.1%</w:t>
            </w:r>
          </w:p>
        </w:tc>
      </w:tr>
      <w:tr>
        <w:tc>
          <w:tcPr>
            <w:tcW w:type="dxa" w:w="1560"/>
          </w:tcPr>
          <w:p>
            <w:r>
              <w:rPr>
                <w:rFonts w:ascii="Times New Roman" w:hAnsi="Times New Roman"/>
                <w:sz w:val="20"/>
              </w:rPr>
              <w:t>2021</w:t>
            </w:r>
          </w:p>
        </w:tc>
        <w:tc>
          <w:tcPr>
            <w:tcW w:type="dxa" w:w="1560"/>
          </w:tcPr>
          <w:p>
            <w:r>
              <w:rPr>
                <w:rFonts w:ascii="Times New Roman" w:hAnsi="Times New Roman"/>
                <w:sz w:val="20"/>
              </w:rPr>
              <w:t>20137</w:t>
            </w:r>
          </w:p>
        </w:tc>
        <w:tc>
          <w:tcPr>
            <w:tcW w:type="dxa" w:w="1560"/>
          </w:tcPr>
          <w:p>
            <w:r>
              <w:rPr>
                <w:rFonts w:ascii="Times New Roman" w:hAnsi="Times New Roman"/>
                <w:sz w:val="20"/>
              </w:rPr>
              <w:t>311</w:t>
            </w:r>
          </w:p>
        </w:tc>
        <w:tc>
          <w:tcPr>
            <w:tcW w:type="dxa" w:w="1560"/>
          </w:tcPr>
          <w:p>
            <w:r>
              <w:rPr>
                <w:rFonts w:ascii="Times New Roman" w:hAnsi="Times New Roman"/>
                <w:sz w:val="20"/>
              </w:rPr>
              <w:t>195</w:t>
            </w:r>
          </w:p>
        </w:tc>
        <w:tc>
          <w:tcPr>
            <w:tcW w:type="dxa" w:w="1560"/>
          </w:tcPr>
          <w:p>
            <w:r>
              <w:rPr>
                <w:rFonts w:ascii="Times New Roman" w:hAnsi="Times New Roman"/>
                <w:sz w:val="20"/>
              </w:rPr>
              <w:t>1180.0</w:t>
            </w:r>
          </w:p>
        </w:tc>
        <w:tc>
          <w:tcPr>
            <w:tcW w:type="dxa" w:w="1560"/>
          </w:tcPr>
          <w:p>
            <w:r>
              <w:rPr>
                <w:rFonts w:ascii="Times New Roman" w:hAnsi="Times New Roman"/>
                <w:sz w:val="20"/>
              </w:rPr>
              <w:t>9.7%</w:t>
            </w:r>
          </w:p>
        </w:tc>
      </w:tr>
      <w:tr>
        <w:tc>
          <w:tcPr>
            <w:tcW w:type="dxa" w:w="1560"/>
          </w:tcPr>
          <w:p>
            <w:r>
              <w:rPr>
                <w:rFonts w:ascii="Times New Roman" w:hAnsi="Times New Roman"/>
                <w:sz w:val="20"/>
              </w:rPr>
              <w:t>2022</w:t>
            </w:r>
          </w:p>
        </w:tc>
        <w:tc>
          <w:tcPr>
            <w:tcW w:type="dxa" w:w="1560"/>
          </w:tcPr>
          <w:p>
            <w:r>
              <w:rPr>
                <w:rFonts w:ascii="Times New Roman" w:hAnsi="Times New Roman"/>
                <w:sz w:val="20"/>
              </w:rPr>
              <w:t>25081</w:t>
            </w:r>
          </w:p>
        </w:tc>
        <w:tc>
          <w:tcPr>
            <w:tcW w:type="dxa" w:w="1560"/>
          </w:tcPr>
          <w:p>
            <w:r>
              <w:rPr>
                <w:rFonts w:ascii="Times New Roman" w:hAnsi="Times New Roman"/>
                <w:sz w:val="20"/>
              </w:rPr>
              <w:t>555</w:t>
            </w:r>
          </w:p>
        </w:tc>
        <w:tc>
          <w:tcPr>
            <w:tcW w:type="dxa" w:w="1560"/>
          </w:tcPr>
          <w:p>
            <w:r>
              <w:rPr>
                <w:rFonts w:ascii="Times New Roman" w:hAnsi="Times New Roman"/>
                <w:sz w:val="20"/>
              </w:rPr>
              <w:t>260</w:t>
            </w:r>
          </w:p>
        </w:tc>
        <w:tc>
          <w:tcPr>
            <w:tcW w:type="dxa" w:w="1560"/>
          </w:tcPr>
          <w:p>
            <w:r>
              <w:rPr>
                <w:rFonts w:ascii="Times New Roman" w:hAnsi="Times New Roman"/>
                <w:sz w:val="20"/>
              </w:rPr>
              <w:t>950.0</w:t>
            </w:r>
          </w:p>
        </w:tc>
        <w:tc>
          <w:tcPr>
            <w:tcW w:type="dxa" w:w="1560"/>
          </w:tcPr>
          <w:p>
            <w:r>
              <w:rPr>
                <w:rFonts w:ascii="Times New Roman" w:hAnsi="Times New Roman"/>
                <w:sz w:val="20"/>
              </w:rPr>
              <w:t>24.6%</w:t>
            </w:r>
          </w:p>
        </w:tc>
      </w:tr>
      <w:tr>
        <w:tc>
          <w:tcPr>
            <w:tcW w:type="dxa" w:w="1560"/>
          </w:tcPr>
          <w:p>
            <w:r>
              <w:rPr>
                <w:rFonts w:ascii="Times New Roman" w:hAnsi="Times New Roman"/>
                <w:sz w:val="20"/>
              </w:rPr>
              <w:t>2023</w:t>
            </w:r>
          </w:p>
        </w:tc>
        <w:tc>
          <w:tcPr>
            <w:tcW w:type="dxa" w:w="1560"/>
          </w:tcPr>
          <w:p>
            <w:r>
              <w:rPr>
                <w:rFonts w:ascii="Times New Roman" w:hAnsi="Times New Roman"/>
                <w:sz w:val="20"/>
              </w:rPr>
              <w:t>29065</w:t>
            </w:r>
          </w:p>
        </w:tc>
        <w:tc>
          <w:tcPr>
            <w:tcW w:type="dxa" w:w="1560"/>
          </w:tcPr>
          <w:p>
            <w:r>
              <w:rPr>
                <w:rFonts w:ascii="Times New Roman" w:hAnsi="Times New Roman"/>
                <w:sz w:val="20"/>
              </w:rPr>
              <w:t>187</w:t>
            </w:r>
          </w:p>
        </w:tc>
        <w:tc>
          <w:tcPr>
            <w:tcW w:type="dxa" w:w="1560"/>
          </w:tcPr>
          <w:p>
            <w:r>
              <w:rPr>
                <w:rFonts w:ascii="Times New Roman" w:hAnsi="Times New Roman"/>
                <w:sz w:val="20"/>
              </w:rPr>
              <w:t>330</w:t>
            </w:r>
          </w:p>
        </w:tc>
        <w:tc>
          <w:tcPr>
            <w:tcW w:type="dxa" w:w="1560"/>
          </w:tcPr>
          <w:p>
            <w:r>
              <w:rPr>
                <w:rFonts w:ascii="Times New Roman" w:hAnsi="Times New Roman"/>
                <w:sz w:val="20"/>
              </w:rPr>
              <w:t>820.0</w:t>
            </w:r>
          </w:p>
        </w:tc>
        <w:tc>
          <w:tcPr>
            <w:tcW w:type="dxa" w:w="1560"/>
          </w:tcPr>
          <w:p>
            <w:r>
              <w:rPr>
                <w:rFonts w:ascii="Times New Roman" w:hAnsi="Times New Roman"/>
                <w:sz w:val="20"/>
              </w:rPr>
              <w:t>15.9%</w:t>
            </w:r>
          </w:p>
        </w:tc>
      </w:tr>
      <w:tr>
        <w:tc>
          <w:tcPr>
            <w:tcW w:type="dxa" w:w="1560"/>
          </w:tcPr>
          <w:p>
            <w:r>
              <w:rPr>
                <w:rFonts w:ascii="Times New Roman" w:hAnsi="Times New Roman"/>
                <w:sz w:val="20"/>
              </w:rPr>
              <w:t>2024</w:t>
            </w:r>
          </w:p>
        </w:tc>
        <w:tc>
          <w:tcPr>
            <w:tcW w:type="dxa" w:w="1560"/>
          </w:tcPr>
          <w:p>
            <w:r>
              <w:rPr>
                <w:rFonts w:ascii="Times New Roman" w:hAnsi="Times New Roman"/>
                <w:sz w:val="20"/>
              </w:rPr>
              <w:t>39500</w:t>
            </w:r>
          </w:p>
        </w:tc>
        <w:tc>
          <w:tcPr>
            <w:tcW w:type="dxa" w:w="1560"/>
          </w:tcPr>
          <w:p>
            <w:r>
              <w:rPr>
                <w:rFonts w:ascii="Times New Roman" w:hAnsi="Times New Roman"/>
                <w:sz w:val="20"/>
              </w:rPr>
              <w:t>186</w:t>
            </w:r>
          </w:p>
        </w:tc>
        <w:tc>
          <w:tcPr>
            <w:tcW w:type="dxa" w:w="1560"/>
          </w:tcPr>
          <w:p>
            <w:r>
              <w:rPr>
                <w:rFonts w:ascii="Times New Roman" w:hAnsi="Times New Roman"/>
                <w:sz w:val="20"/>
              </w:rPr>
              <w:t>410</w:t>
            </w:r>
          </w:p>
        </w:tc>
        <w:tc>
          <w:tcPr>
            <w:tcW w:type="dxa" w:w="1560"/>
          </w:tcPr>
          <w:p>
            <w:r>
              <w:rPr>
                <w:rFonts w:ascii="Times New Roman" w:hAnsi="Times New Roman"/>
                <w:sz w:val="20"/>
              </w:rPr>
              <w:t>710.0</w:t>
            </w:r>
          </w:p>
        </w:tc>
        <w:tc>
          <w:tcPr>
            <w:tcW w:type="dxa" w:w="1560"/>
          </w:tcPr>
          <w:p>
            <w:r>
              <w:rPr>
                <w:rFonts w:ascii="Times New Roman" w:hAnsi="Times New Roman"/>
                <w:sz w:val="20"/>
              </w:rPr>
              <w:t>35.9%</w:t>
            </w:r>
          </w:p>
        </w:tc>
      </w:tr>
      <w:tr>
        <w:tc>
          <w:tcPr>
            <w:tcW w:type="dxa" w:w="1560"/>
          </w:tcPr>
          <w:p>
            <w:r>
              <w:rPr>
                <w:rFonts w:ascii="Times New Roman" w:hAnsi="Times New Roman"/>
                <w:sz w:val="20"/>
              </w:rPr>
              <w:t>2025</w:t>
            </w:r>
          </w:p>
        </w:tc>
        <w:tc>
          <w:tcPr>
            <w:tcW w:type="dxa" w:w="1560"/>
          </w:tcPr>
          <w:p>
            <w:r>
              <w:rPr>
                <w:rFonts w:ascii="Times New Roman" w:hAnsi="Times New Roman"/>
                <w:sz w:val="20"/>
              </w:rPr>
              <w:t>42000</w:t>
            </w:r>
          </w:p>
        </w:tc>
        <w:tc>
          <w:tcPr>
            <w:tcW w:type="dxa" w:w="1560"/>
          </w:tcPr>
          <w:p>
            <w:r>
              <w:rPr>
                <w:rFonts w:ascii="Times New Roman" w:hAnsi="Times New Roman"/>
                <w:sz w:val="20"/>
              </w:rPr>
              <w:t>245</w:t>
            </w:r>
          </w:p>
        </w:tc>
        <w:tc>
          <w:tcPr>
            <w:tcW w:type="dxa" w:w="1560"/>
          </w:tcPr>
          <w:p>
            <w:r>
              <w:rPr>
                <w:rFonts w:ascii="Times New Roman" w:hAnsi="Times New Roman"/>
                <w:sz w:val="20"/>
              </w:rPr>
              <w:t>460</w:t>
            </w:r>
          </w:p>
        </w:tc>
        <w:tc>
          <w:tcPr>
            <w:tcW w:type="dxa" w:w="1560"/>
          </w:tcPr>
          <w:p>
            <w:r>
              <w:rPr>
                <w:rFonts w:ascii="Times New Roman" w:hAnsi="Times New Roman"/>
                <w:sz w:val="20"/>
              </w:rPr>
              <w:t>680.0</w:t>
            </w:r>
          </w:p>
        </w:tc>
        <w:tc>
          <w:tcPr>
            <w:tcW w:type="dxa" w:w="1560"/>
          </w:tcPr>
          <w:p>
            <w:r>
              <w:rPr>
                <w:rFonts w:ascii="Times New Roman" w:hAnsi="Times New Roman"/>
                <w:sz w:val="20"/>
              </w:rPr>
              <w:t>6.3%</w:t>
            </w:r>
          </w:p>
        </w:tc>
      </w:tr>
    </w:tbl>
    <w:p/>
    <w:p>
      <w:pPr>
        <w:ind w:firstLine="720"/>
      </w:pPr>
      <w:r>
        <w:rPr>
          <w:rFonts w:ascii="Times New Roman" w:hAnsi="Times New Roman"/>
          <w:b w:val="0"/>
          <w:i w:val="0"/>
          <w:sz w:val="24"/>
        </w:rPr>
        <w:t>Mean annual CVE inflow rises from approximately 17,390 before the BOD 22-01 policy break (≤ 2020) to approximately 31,157 after it (≥ 2021). Administrative remediation deadlines of 14–21 days represent administrative pacing targets. Without asset-level, verified completion telemetry, the realized technical remediation rate remains unresolved. Discovery velocity continues to outpace verified patch throughput.</w:t>
      </w:r>
    </w:p>
    <w:p>
      <w:r>
        <w:br w:type="page"/>
      </w:r>
    </w:p>
    <w:p>
      <w:pPr>
        <w:pStyle w:val="Heading1"/>
      </w:pPr>
      <w:r>
        <w:rPr>
          <w:rFonts w:ascii="Times New Roman" w:hAnsi="Times New Roman"/>
          <w:color w:val="000000"/>
        </w:rPr>
        <w:t>VIII. Empirical Test Four: Anthropic Distillation Activity</w:t>
      </w:r>
    </w:p>
    <w:p>
      <w:pPr>
        <w:ind w:firstLine="720"/>
      </w:pPr>
      <w:r>
        <w:rPr>
          <w:rFonts w:ascii="Times New Roman" w:hAnsi="Times New Roman"/>
          <w:b w:val="0"/>
          <w:i w:val="0"/>
          <w:sz w:val="24"/>
        </w:rPr>
        <w:t>Provider disclosures report a primary cluster of 15 million exchanges across approximately 24,000 accounts over 90 days, giving an observed input rate λ_obs = 166,667 exchanges per day. A separate targeted agentic cluster reports 4.5 million exchanges over 45 days and approximately 8,500 accounts, giving 100,000 exchanges per day. These figures describe extraction-input activity — the volume of teacher-model responses elicited — not the resulting capability in any student model.</w:t>
      </w:r>
    </w:p>
    <w:p>
      <w:pPr>
        <w:pStyle w:val="Heading2"/>
      </w:pPr>
      <w:r>
        <w:rPr>
          <w:rFonts w:ascii="Times New Roman" w:hAnsi="Times New Roman"/>
          <w:color w:val="000000"/>
        </w:rPr>
        <w:t>Effective Throughput Model</w:t>
      </w:r>
    </w:p>
    <w:p>
      <w:pPr>
        <w:ind w:firstLine="720"/>
      </w:pPr>
      <w:r>
        <w:rPr>
          <w:rFonts w:ascii="Times New Roman" w:hAnsi="Times New Roman"/>
          <w:b w:val="0"/>
          <w:i w:val="0"/>
          <w:sz w:val="24"/>
        </w:rPr>
        <w:t>The effective throughput model is μ_eff = (r · u · v · λ_obs) / h, where r is the retention rate (fraction of exchanges yielding usable training signal), u is the utility weight, v is the validity factor, and h is hours per capability unit. The audit's scenario grid (r ∈ [0.001, 0.10], u ∈ [0.10, 1.00], v ∈ [0.5, 1.0], h ∈ [1, 24]) yields effective throughput spanning four orders of magnitude: 0.015 to 150 capability units per day.</w:t>
      </w:r>
    </w:p>
    <w:p>
      <w:pPr>
        <w:ind w:firstLine="720"/>
      </w:pPr>
      <w:r>
        <w:rPr>
          <w:rFonts w:ascii="Times New Roman" w:hAnsi="Times New Roman"/>
          <w:b w:val="0"/>
          <w:i w:val="0"/>
          <w:sz w:val="24"/>
        </w:rPr>
        <w:t>Because r, u, v and h are not directly observed — and because h is described in more than one unit convention — the range is reported as scenario output, not measured μ. Exchange volume is a necessary condition for capability diffusion but not a sufficient one; the conversion from raw exchanges to autonomous capability is bounded by severe retention and incorporation bottlenecks.</w:t>
      </w:r>
    </w:p>
    <w:p>
      <w:r>
        <w:br w:type="page"/>
      </w:r>
    </w:p>
    <w:p>
      <w:pPr>
        <w:pStyle w:val="Heading1"/>
      </w:pPr>
      <w:r>
        <w:rPr>
          <w:rFonts w:ascii="Times New Roman" w:hAnsi="Times New Roman"/>
          <w:color w:val="000000"/>
        </w:rPr>
        <w:t>IX. Empirical Test Five: Longevity Biotechnology</w:t>
      </w:r>
    </w:p>
    <w:p>
      <w:pPr>
        <w:pStyle w:val="Heading2"/>
      </w:pPr>
      <w:r>
        <w:rPr>
          <w:rFonts w:ascii="Times New Roman" w:hAnsi="Times New Roman"/>
          <w:color w:val="000000"/>
        </w:rPr>
        <w:t>Clinical Evidence: Biomarker Deceleration Without Lifespan Extension</w:t>
      </w:r>
    </w:p>
    <w:p>
      <w:pPr>
        <w:ind w:firstLine="720"/>
      </w:pPr>
      <w:r>
        <w:rPr>
          <w:rFonts w:ascii="Times New Roman" w:hAnsi="Times New Roman"/>
          <w:b w:val="0"/>
          <w:i w:val="0"/>
          <w:sz w:val="24"/>
        </w:rPr>
        <w:t>Phase-2 randomized human trials (CALERIE) demonstrate statistically significant deceleration of biological aging proxies: DunedinPACE effect −0.02 per year (95% CI: −0.035 to −0.005, p = 0.008), PhenoAge effect −0.11 standard deviations (95% CI: −0.21 to −0.01, p = 0.031), and GrimAge effect −0.04 (95% CI: −0.15 to 0.07, p = 0.48, not significant). The first two are statistically detectable; the third is not. None is a direct demonstration of extended human lifespan or all-cause mortality reduction.</w:t>
      </w:r>
    </w:p>
    <w:p>
      <w:pPr>
        <w:pStyle w:val="Heading2"/>
      </w:pPr>
      <w:r>
        <w:rPr>
          <w:rFonts w:ascii="Times New Roman" w:hAnsi="Times New Roman"/>
          <w:color w:val="000000"/>
        </w:rPr>
        <w:t>Access Stratification and the Affordability Index</w:t>
      </w:r>
    </w:p>
    <w:p>
      <w:pPr>
        <w:ind w:firstLine="720"/>
      </w:pPr>
      <w:r>
        <w:rPr>
          <w:rFonts w:ascii="Times New Roman" w:hAnsi="Times New Roman"/>
          <w:b w:val="0"/>
          <w:i w:val="0"/>
          <w:sz w:val="24"/>
        </w:rPr>
        <w:t>The affordability index A_i = max(0, 1 − P_i / P*) at threshold P* = $200/month reveals severe structural fragmentation in longevity access:</w:t>
      </w:r>
    </w:p>
    <w:p>
      <w:r>
        <w:rPr>
          <w:rFonts w:ascii="Times New Roman" w:hAnsi="Times New Roman"/>
          <w:b/>
          <w:i w:val="0"/>
          <w:sz w:val="22"/>
        </w:rPr>
        <w:t>Table 4. Longevity Biotechnology: Evidence Level, Clinical Effect, and Access Pricing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0"/>
              </w:rPr>
              <w:t>Intervention</w:t>
            </w:r>
          </w:p>
        </w:tc>
        <w:tc>
          <w:tcPr>
            <w:tcW w:type="dxa" w:w="1872"/>
          </w:tcPr>
          <w:p>
            <w:r>
              <w:rPr>
                <w:rFonts w:ascii="Times New Roman" w:hAnsi="Times New Roman"/>
                <w:b/>
                <w:sz w:val="20"/>
              </w:rPr>
              <w:t>Evidence Level</w:t>
            </w:r>
          </w:p>
        </w:tc>
        <w:tc>
          <w:tcPr>
            <w:tcW w:type="dxa" w:w="1872"/>
          </w:tcPr>
          <w:p>
            <w:r>
              <w:rPr>
                <w:rFonts w:ascii="Times New Roman" w:hAnsi="Times New Roman"/>
                <w:b/>
                <w:sz w:val="20"/>
              </w:rPr>
              <w:t>Effect</w:t>
            </w:r>
          </w:p>
        </w:tc>
        <w:tc>
          <w:tcPr>
            <w:tcW w:type="dxa" w:w="1872"/>
          </w:tcPr>
          <w:p>
            <w:r>
              <w:rPr>
                <w:rFonts w:ascii="Times New Roman" w:hAnsi="Times New Roman"/>
                <w:b/>
                <w:sz w:val="20"/>
              </w:rPr>
              <w:t>Cost/mo</w:t>
            </w:r>
          </w:p>
        </w:tc>
        <w:tc>
          <w:tcPr>
            <w:tcW w:type="dxa" w:w="1872"/>
          </w:tcPr>
          <w:p>
            <w:r>
              <w:rPr>
                <w:rFonts w:ascii="Times New Roman" w:hAnsi="Times New Roman"/>
                <w:b/>
                <w:sz w:val="20"/>
              </w:rPr>
              <w:t>Affordability</w:t>
            </w:r>
          </w:p>
        </w:tc>
      </w:tr>
      <w:tr>
        <w:tc>
          <w:tcPr>
            <w:tcW w:type="dxa" w:w="1872"/>
          </w:tcPr>
          <w:p>
            <w:r>
              <w:rPr>
                <w:rFonts w:ascii="Times New Roman" w:hAnsi="Times New Roman"/>
                <w:sz w:val="20"/>
              </w:rPr>
              <w:t xml:space="preserve">Biomarker: DunedinPACE (epigenetic pace </w:t>
            </w:r>
          </w:p>
        </w:tc>
        <w:tc>
          <w:tcPr>
            <w:tcW w:type="dxa" w:w="1872"/>
          </w:tcPr>
          <w:p>
            <w:r>
              <w:rPr>
                <w:rFonts w:ascii="Times New Roman" w:hAnsi="Times New Roman"/>
                <w:sz w:val="20"/>
              </w:rPr>
              <w:t>biological aging proxy</w:t>
            </w:r>
          </w:p>
        </w:tc>
        <w:tc>
          <w:tcPr>
            <w:tcW w:type="dxa" w:w="1872"/>
          </w:tcPr>
          <w:p>
            <w:r>
              <w:rPr>
                <w:rFonts w:ascii="Times New Roman" w:hAnsi="Times New Roman"/>
                <w:sz w:val="20"/>
              </w:rPr>
              <w:t>Effect: -0.02 (95% CI: -0.035 to -0.005,</w:t>
            </w:r>
          </w:p>
        </w:tc>
        <w:tc>
          <w:tcPr>
            <w:tcW w:type="dxa" w:w="1872"/>
          </w:tcPr>
          <w:p>
            <w:r>
              <w:rPr>
                <w:rFonts w:ascii="Times New Roman" w:hAnsi="Times New Roman"/>
                <w:sz w:val="20"/>
              </w:rPr>
              <w:t>N/A (Clinical trial protocol)</w:t>
            </w:r>
          </w:p>
        </w:tc>
        <w:tc>
          <w:tcPr>
            <w:tcW w:type="dxa" w:w="1872"/>
          </w:tcPr>
          <w:p>
            <w:r>
              <w:rPr>
                <w:rFonts w:ascii="Times New Roman" w:hAnsi="Times New Roman"/>
                <w:sz w:val="20"/>
              </w:rPr>
              <w:t xml:space="preserve">Candidate soft biomarker; not hard </w:t>
            </w:r>
          </w:p>
        </w:tc>
      </w:tr>
      <w:tr>
        <w:tc>
          <w:tcPr>
            <w:tcW w:type="dxa" w:w="1872"/>
          </w:tcPr>
          <w:p>
            <w:r>
              <w:rPr>
                <w:rFonts w:ascii="Times New Roman" w:hAnsi="Times New Roman"/>
                <w:sz w:val="20"/>
              </w:rPr>
              <w:t>Biomarker: PhenoAge (clinical blood chem</w:t>
            </w:r>
          </w:p>
        </w:tc>
        <w:tc>
          <w:tcPr>
            <w:tcW w:type="dxa" w:w="1872"/>
          </w:tcPr>
          <w:p>
            <w:r>
              <w:rPr>
                <w:rFonts w:ascii="Times New Roman" w:hAnsi="Times New Roman"/>
                <w:sz w:val="20"/>
              </w:rPr>
              <w:t>biological aging proxy</w:t>
            </w:r>
          </w:p>
        </w:tc>
        <w:tc>
          <w:tcPr>
            <w:tcW w:type="dxa" w:w="1872"/>
          </w:tcPr>
          <w:p>
            <w:r>
              <w:rPr>
                <w:rFonts w:ascii="Times New Roman" w:hAnsi="Times New Roman"/>
                <w:sz w:val="20"/>
              </w:rPr>
              <w:t>Effect: -0.11 (95% CI: -0.21 to -0.01, p</w:t>
            </w:r>
          </w:p>
        </w:tc>
        <w:tc>
          <w:tcPr>
            <w:tcW w:type="dxa" w:w="1872"/>
          </w:tcPr>
          <w:p>
            <w:r>
              <w:rPr>
                <w:rFonts w:ascii="Times New Roman" w:hAnsi="Times New Roman"/>
                <w:sz w:val="20"/>
              </w:rPr>
              <w:t>N/A (Clinical trial protocol)</w:t>
            </w:r>
          </w:p>
        </w:tc>
        <w:tc>
          <w:tcPr>
            <w:tcW w:type="dxa" w:w="1872"/>
          </w:tcPr>
          <w:p>
            <w:r>
              <w:rPr>
                <w:rFonts w:ascii="Times New Roman" w:hAnsi="Times New Roman"/>
                <w:sz w:val="20"/>
              </w:rPr>
              <w:t xml:space="preserve">Candidate soft biomarker; not hard </w:t>
            </w:r>
          </w:p>
        </w:tc>
      </w:tr>
      <w:tr>
        <w:tc>
          <w:tcPr>
            <w:tcW w:type="dxa" w:w="1872"/>
          </w:tcPr>
          <w:p>
            <w:r>
              <w:rPr>
                <w:rFonts w:ascii="Times New Roman" w:hAnsi="Times New Roman"/>
                <w:sz w:val="20"/>
              </w:rPr>
              <w:t>Biomarker: GrimAge (DNAm mortality predi</w:t>
            </w:r>
          </w:p>
        </w:tc>
        <w:tc>
          <w:tcPr>
            <w:tcW w:type="dxa" w:w="1872"/>
          </w:tcPr>
          <w:p>
            <w:r>
              <w:rPr>
                <w:rFonts w:ascii="Times New Roman" w:hAnsi="Times New Roman"/>
                <w:sz w:val="20"/>
              </w:rPr>
              <w:t>exploratory marker</w:t>
            </w:r>
          </w:p>
        </w:tc>
        <w:tc>
          <w:tcPr>
            <w:tcW w:type="dxa" w:w="1872"/>
          </w:tcPr>
          <w:p>
            <w:r>
              <w:rPr>
                <w:rFonts w:ascii="Times New Roman" w:hAnsi="Times New Roman"/>
                <w:sz w:val="20"/>
              </w:rPr>
              <w:t>Effect: -0.04 (95% CI: -0.15 to 0.07, p=</w:t>
            </w:r>
          </w:p>
        </w:tc>
        <w:tc>
          <w:tcPr>
            <w:tcW w:type="dxa" w:w="1872"/>
          </w:tcPr>
          <w:p>
            <w:r>
              <w:rPr>
                <w:rFonts w:ascii="Times New Roman" w:hAnsi="Times New Roman"/>
                <w:sz w:val="20"/>
              </w:rPr>
              <w:t>N/A (Clinical trial protocol)</w:t>
            </w:r>
          </w:p>
        </w:tc>
        <w:tc>
          <w:tcPr>
            <w:tcW w:type="dxa" w:w="1872"/>
          </w:tcPr>
          <w:p>
            <w:r>
              <w:rPr>
                <w:rFonts w:ascii="Times New Roman" w:hAnsi="Times New Roman"/>
                <w:sz w:val="20"/>
              </w:rPr>
              <w:t xml:space="preserve">Candidate soft biomarker; not hard </w:t>
            </w:r>
          </w:p>
        </w:tc>
      </w:tr>
      <w:tr>
        <w:tc>
          <w:tcPr>
            <w:tcW w:type="dxa" w:w="1872"/>
          </w:tcPr>
          <w:p>
            <w:r>
              <w:rPr>
                <w:rFonts w:ascii="Times New Roman" w:hAnsi="Times New Roman"/>
                <w:sz w:val="20"/>
              </w:rPr>
              <w:t xml:space="preserve">Intervention: Generic Metformin (Retail </w:t>
            </w:r>
          </w:p>
        </w:tc>
        <w:tc>
          <w:tcPr>
            <w:tcW w:type="dxa" w:w="1872"/>
          </w:tcPr>
          <w:p>
            <w:r>
              <w:rPr>
                <w:rFonts w:ascii="Times New Roman" w:hAnsi="Times New Roman"/>
                <w:sz w:val="20"/>
              </w:rPr>
              <w:t>Observational association</w:t>
            </w:r>
          </w:p>
        </w:tc>
        <w:tc>
          <w:tcPr>
            <w:tcW w:type="dxa" w:w="1872"/>
          </w:tcPr>
          <w:p>
            <w:r>
              <w:rPr>
                <w:rFonts w:ascii="Times New Roman" w:hAnsi="Times New Roman"/>
                <w:sz w:val="20"/>
              </w:rPr>
              <w:t>Price: $4.00/mo (Affordability @ $200: 0</w:t>
            </w:r>
          </w:p>
        </w:tc>
        <w:tc>
          <w:tcPr>
            <w:tcW w:type="dxa" w:w="1872"/>
          </w:tcPr>
          <w:p>
            <w:r>
              <w:rPr>
                <w:rFonts w:ascii="Times New Roman" w:hAnsi="Times New Roman"/>
                <w:sz w:val="20"/>
              </w:rPr>
              <w:t>$4.00</w:t>
            </w:r>
          </w:p>
        </w:tc>
        <w:tc>
          <w:tcPr>
            <w:tcW w:type="dxa" w:w="1872"/>
          </w:tcPr>
          <w:p>
            <w:r>
              <w:rPr>
                <w:rFonts w:ascii="Times New Roman" w:hAnsi="Times New Roman"/>
                <w:sz w:val="20"/>
              </w:rPr>
              <w:t>Outside validated longevity floor (</w:t>
            </w:r>
          </w:p>
        </w:tc>
      </w:tr>
      <w:tr>
        <w:tc>
          <w:tcPr>
            <w:tcW w:type="dxa" w:w="1872"/>
          </w:tcPr>
          <w:p>
            <w:r>
              <w:rPr>
                <w:rFonts w:ascii="Times New Roman" w:hAnsi="Times New Roman"/>
                <w:sz w:val="20"/>
              </w:rPr>
              <w:t>Intervention: Off-label Rapamycin (Sirol</w:t>
            </w:r>
          </w:p>
        </w:tc>
        <w:tc>
          <w:tcPr>
            <w:tcW w:type="dxa" w:w="1872"/>
          </w:tcPr>
          <w:p>
            <w:r>
              <w:rPr>
                <w:rFonts w:ascii="Times New Roman" w:hAnsi="Times New Roman"/>
                <w:sz w:val="20"/>
              </w:rPr>
              <w:t>Preclinical animal extens</w:t>
            </w:r>
          </w:p>
        </w:tc>
        <w:tc>
          <w:tcPr>
            <w:tcW w:type="dxa" w:w="1872"/>
          </w:tcPr>
          <w:p>
            <w:r>
              <w:rPr>
                <w:rFonts w:ascii="Times New Roman" w:hAnsi="Times New Roman"/>
                <w:sz w:val="20"/>
              </w:rPr>
              <w:t xml:space="preserve">Price: $65.00/mo (Affordability @ $200: </w:t>
            </w:r>
          </w:p>
        </w:tc>
        <w:tc>
          <w:tcPr>
            <w:tcW w:type="dxa" w:w="1872"/>
          </w:tcPr>
          <w:p>
            <w:r>
              <w:rPr>
                <w:rFonts w:ascii="Times New Roman" w:hAnsi="Times New Roman"/>
                <w:sz w:val="20"/>
              </w:rPr>
              <w:t>$65.00</w:t>
            </w:r>
          </w:p>
        </w:tc>
        <w:tc>
          <w:tcPr>
            <w:tcW w:type="dxa" w:w="1872"/>
          </w:tcPr>
          <w:p>
            <w:r>
              <w:rPr>
                <w:rFonts w:ascii="Times New Roman" w:hAnsi="Times New Roman"/>
                <w:sz w:val="20"/>
              </w:rPr>
              <w:t>Outside validated longevity floor (</w:t>
            </w:r>
          </w:p>
        </w:tc>
      </w:tr>
      <w:tr>
        <w:tc>
          <w:tcPr>
            <w:tcW w:type="dxa" w:w="1872"/>
          </w:tcPr>
          <w:p>
            <w:r>
              <w:rPr>
                <w:rFonts w:ascii="Times New Roman" w:hAnsi="Times New Roman"/>
                <w:sz w:val="20"/>
              </w:rPr>
              <w:t>Intervention: Concierge Longevity Clinic</w:t>
            </w:r>
          </w:p>
        </w:tc>
        <w:tc>
          <w:tcPr>
            <w:tcW w:type="dxa" w:w="1872"/>
          </w:tcPr>
          <w:p>
            <w:r>
              <w:rPr>
                <w:rFonts w:ascii="Times New Roman" w:hAnsi="Times New Roman"/>
                <w:sz w:val="20"/>
              </w:rPr>
              <w:t>Screening and surrogate b</w:t>
            </w:r>
          </w:p>
        </w:tc>
        <w:tc>
          <w:tcPr>
            <w:tcW w:type="dxa" w:w="1872"/>
          </w:tcPr>
          <w:p>
            <w:r>
              <w:rPr>
                <w:rFonts w:ascii="Times New Roman" w:hAnsi="Times New Roman"/>
                <w:sz w:val="20"/>
              </w:rPr>
              <w:t>Price: $1250.00/mo (Affordability @ $200</w:t>
            </w:r>
          </w:p>
        </w:tc>
        <w:tc>
          <w:tcPr>
            <w:tcW w:type="dxa" w:w="1872"/>
          </w:tcPr>
          <w:p>
            <w:r>
              <w:rPr>
                <w:rFonts w:ascii="Times New Roman" w:hAnsi="Times New Roman"/>
                <w:sz w:val="20"/>
              </w:rPr>
              <w:t>$1250.00</w:t>
            </w:r>
          </w:p>
        </w:tc>
        <w:tc>
          <w:tcPr>
            <w:tcW w:type="dxa" w:w="1872"/>
          </w:tcPr>
          <w:p>
            <w:r>
              <w:rPr>
                <w:rFonts w:ascii="Times New Roman" w:hAnsi="Times New Roman"/>
                <w:sz w:val="20"/>
              </w:rPr>
              <w:t>Constrained by extreme price barrie</w:t>
            </w:r>
          </w:p>
        </w:tc>
      </w:tr>
    </w:tbl>
    <w:p/>
    <w:p>
      <w:pPr>
        <w:ind w:firstLine="720"/>
      </w:pPr>
      <w:r>
        <w:rPr>
          <w:rFonts w:ascii="Times New Roman" w:hAnsi="Times New Roman"/>
          <w:b w:val="0"/>
          <w:i w:val="0"/>
          <w:sz w:val="24"/>
        </w:rPr>
        <w:t>While retail generic metformin is highly affordable ($4.00/month, affordability index 0.98 at $200 threshold), it lacks regulatory approval for longevity. Off-label rapamycin ($65.00/month) faces clinical monitoring constraints. Comprehensive concierge protocols ($1,250.00/month) remain entirely inaccessible to all but the wealthiest tier. The longevity frontier is advancing in surrogate biomarkers; the access floor has not moved.</w:t>
      </w:r>
    </w:p>
    <w:p>
      <w:r>
        <w:br w:type="page"/>
      </w:r>
    </w:p>
    <w:p>
      <w:pPr>
        <w:pStyle w:val="Heading1"/>
      </w:pPr>
      <w:r>
        <w:rPr>
          <w:rFonts w:ascii="Times New Roman" w:hAnsi="Times New Roman"/>
          <w:color w:val="000000"/>
        </w:rPr>
        <w:t>X. Grounding in the Literature</w:t>
      </w:r>
    </w:p>
    <w:p>
      <w:pPr>
        <w:ind w:firstLine="720"/>
      </w:pPr>
      <w:r>
        <w:rPr>
          <w:rFonts w:ascii="Times New Roman" w:hAnsi="Times New Roman"/>
          <w:b w:val="0"/>
          <w:i w:val="0"/>
          <w:sz w:val="24"/>
        </w:rPr>
        <w:t>Six independent literatures anticipate structural fragments of the framework developed here without combining them into its compound claim, and one further literature supplies the contrast case the whole structure depends on being distinguishable from.</w:t>
      </w:r>
    </w:p>
    <w:p>
      <w:pPr>
        <w:pStyle w:val="Heading2"/>
      </w:pPr>
      <w:r>
        <w:rPr>
          <w:rFonts w:ascii="Times New Roman" w:hAnsi="Times New Roman"/>
          <w:color w:val="000000"/>
        </w:rPr>
        <w:t>The Contrast Case</w:t>
      </w:r>
    </w:p>
    <w:p>
      <w:pPr>
        <w:ind w:firstLine="720"/>
      </w:pPr>
      <w:r>
        <w:rPr>
          <w:rFonts w:ascii="Times New Roman" w:hAnsi="Times New Roman"/>
          <w:b w:val="0"/>
          <w:i w:val="0"/>
          <w:sz w:val="24"/>
        </w:rPr>
        <w:t>Rogers's account of how innovations diffuse through a population (1962) describes the ordinary case this paper is built to be distinguished from: adoption proceeding through a population in a predictable sequence, from an early, well-resourced minority to a slower-moving majority, with the length of that sequence shaped by the innovation's own properties and the social structure of the population it moves through — but eventually completing. This is the correct default expectation for most technology diffusion, and the framework developed here claims to depart from it only under the specific structural conditions named in Part I, never as a general description of how new things spread.</w:t>
      </w:r>
    </w:p>
    <w:p>
      <w:pPr>
        <w:pStyle w:val="Heading2"/>
      </w:pPr>
      <w:r>
        <w:rPr>
          <w:rFonts w:ascii="Times New Roman" w:hAnsi="Times New Roman"/>
          <w:color w:val="000000"/>
        </w:rPr>
        <w:t>The Adjacent Mathematics</w:t>
      </w:r>
    </w:p>
    <w:p>
      <w:pPr>
        <w:ind w:firstLine="720"/>
      </w:pPr>
      <w:r>
        <w:rPr>
          <w:rFonts w:ascii="Times New Roman" w:hAnsi="Times New Roman"/>
          <w:b w:val="0"/>
          <w:i w:val="0"/>
          <w:sz w:val="24"/>
        </w:rPr>
        <w:t>Kleinrock's treatment of queueing systems (1975) supplies the workload-process object this paper's central formalization rests on, and Massey's analysis of time-dependent queues (1985) supplies the specific generalization needed once the arrival rate is allowed to vary with time rather than remain fixed, the case this paper's own compounding frontiers require throughout.</w:t>
      </w:r>
    </w:p>
    <w:p>
      <w:pPr>
        <w:pStyle w:val="Heading2"/>
      </w:pPr>
      <w:r>
        <w:rPr>
          <w:rFonts w:ascii="Times New Roman" w:hAnsi="Times New Roman"/>
          <w:color w:val="000000"/>
        </w:rPr>
        <w:t>Five Further Literatures</w:t>
      </w:r>
    </w:p>
    <w:p>
      <w:pPr>
        <w:ind w:firstLine="720"/>
      </w:pPr>
      <w:r>
        <w:rPr>
          <w:rFonts w:ascii="Times New Roman" w:hAnsi="Times New Roman"/>
          <w:b w:val="0"/>
          <w:i w:val="0"/>
          <w:sz w:val="24"/>
        </w:rPr>
        <w:t>Van Valen's Red Queen hypothesis (1973) supplies the logic of continuous adaptation required merely to hold relative rather than absolute position, though the structure developed here departs from it in an important respect: the Red Queen dynamic is typically adversarial, two competing populations locked in co-evolution, while the structure here describes something different — a single generative process bifurcating into two downstream functions that draw on mismatched resource bases, not two populations racing each other.</w:t>
      </w:r>
    </w:p>
    <w:p>
      <w:pPr>
        <w:ind w:firstLine="720"/>
      </w:pPr>
      <w:r>
        <w:rPr>
          <w:rFonts w:ascii="Times New Roman" w:hAnsi="Times New Roman"/>
          <w:b w:val="0"/>
          <w:i w:val="0"/>
          <w:sz w:val="24"/>
        </w:rPr>
        <w:t>Hirsch's theory of positional goods (1977) explains why a gap of the kind this paper describes remains politically salient even as absolute outcomes improve for everyone on both sides of it. For goods whose value is partly positional — where possessing something confers advantage specifically because others do not yet possess it — absolute growth does not resolve the underlying scarcity, because the good's value is partly constituted by relative position rather than by an absolute quantity alone.</w:t>
      </w:r>
    </w:p>
    <w:p>
      <w:pPr>
        <w:ind w:firstLine="720"/>
      </w:pPr>
      <w:r>
        <w:rPr>
          <w:rFonts w:ascii="Times New Roman" w:hAnsi="Times New Roman"/>
          <w:b w:val="0"/>
          <w:i w:val="0"/>
          <w:sz w:val="24"/>
        </w:rPr>
        <w:t>Aghion and Howitt's model of growth through creative destruction (1992) supplies formal microfoundations for why innovation-driven systems do not structurally converge to distributional equilibrium: each advance confers a temporary advantage before being displaced by the next, with growth proceeding by continuously extending a ladder rather than eventually equalizing access to any given rung — not a policy failure but the mechanism by which this kind of growth occurs at all.</w:t>
      </w:r>
    </w:p>
    <w:p>
      <w:pPr>
        <w:ind w:firstLine="720"/>
      </w:pPr>
      <w:r>
        <w:rPr>
          <w:rFonts w:ascii="Times New Roman" w:hAnsi="Times New Roman"/>
          <w:b w:val="0"/>
          <w:i w:val="0"/>
          <w:sz w:val="24"/>
        </w:rPr>
        <w:t>Ablon and Bogart's empirical study of the vulnerability disclosure lifecycle (2017) supplies real diffusion-lag data from exactly the adjacent domain this paper's own cybersecurity test develops further with newer data: discovery and remediation historically moving at different, mismatched institutional speeds, observed directly rather than assumed.</w:t>
      </w:r>
    </w:p>
    <w:p>
      <w:pPr>
        <w:ind w:firstLine="720"/>
      </w:pPr>
      <w:r>
        <w:rPr>
          <w:rFonts w:ascii="Times New Roman" w:hAnsi="Times New Roman"/>
          <w:b w:val="0"/>
          <w:i w:val="0"/>
          <w:sz w:val="24"/>
        </w:rPr>
        <w:t>Bostrom's analysis of differential technological development (2002) addresses the most obvious policy response to a structure like this one directly: if a compounding frontier is the source of instability, why not decelerate it? The relevant finding, applied here, is that no individual actor can unilaterally decelerate a compounding frontier without ceding competitive disadvantage to actors who do not — an incentive structure visible in both domains this paper tests, and one that makes coordinated rather than unilateral response the only kind capable of addressing the structure at its source.</w:t>
      </w:r>
    </w:p>
    <w:p>
      <w:r>
        <w:br w:type="page"/>
      </w:r>
    </w:p>
    <w:p>
      <w:pPr>
        <w:pStyle w:val="Heading1"/>
      </w:pPr>
      <w:r>
        <w:rPr>
          <w:rFonts w:ascii="Times New Roman" w:hAnsi="Times New Roman"/>
          <w:color w:val="000000"/>
        </w:rPr>
        <w:t>XI. Limitations and Falsification Conditions</w:t>
      </w:r>
    </w:p>
    <w:p>
      <w:pPr>
        <w:ind w:firstLine="720"/>
      </w:pPr>
      <w:r>
        <w:rPr>
          <w:rFonts w:ascii="Times New Roman" w:hAnsi="Times New Roman"/>
          <w:b w:val="0"/>
          <w:i w:val="0"/>
          <w:sz w:val="24"/>
        </w:rPr>
        <w:t>This framework states, in advance, the conditions under which it would be shown false, and reports here which of them this paper's own empirical work has already tested.</w:t>
      </w:r>
    </w:p>
    <w:p>
      <w:pPr>
        <w:pStyle w:val="Heading2"/>
      </w:pPr>
      <w:r>
        <w:rPr>
          <w:rFonts w:ascii="Times New Roman" w:hAnsi="Times New Roman"/>
          <w:color w:val="000000"/>
        </w:rPr>
        <w:t>F1 — Jump-Size Regularity</w:t>
      </w:r>
    </w:p>
    <w:p>
      <w:pPr>
        <w:ind w:firstLine="720"/>
      </w:pPr>
      <w:r>
        <w:rPr>
          <w:rFonts w:ascii="Times New Roman" w:hAnsi="Times New Roman"/>
          <w:b w:val="0"/>
          <w:i w:val="0"/>
          <w:sz w:val="24"/>
        </w:rPr>
        <w:t>If reset-event sizes {δᵢ} are shown empirically not to admit a well-defined expectation — a heavy-tailed distribution without finite mean, for instance — the workload-process formalization in Part III does not apply in its stated form and would need reformulation under heavy-tailed queueing theory. Neither empirical test in this paper has directly tested jump-size regularity against real data; this remains open.</w:t>
      </w:r>
    </w:p>
    <w:p>
      <w:pPr>
        <w:pStyle w:val="Heading2"/>
      </w:pPr>
      <w:r>
        <w:rPr>
          <w:rFonts w:ascii="Times New Roman" w:hAnsi="Times New Roman"/>
          <w:color w:val="000000"/>
        </w:rPr>
        <w:t>F2 — Bottleneck Identification</w:t>
      </w:r>
    </w:p>
    <w:p>
      <w:pPr>
        <w:ind w:firstLine="720"/>
      </w:pPr>
      <w:r>
        <w:rPr>
          <w:rFonts w:ascii="Times New Roman" w:hAnsi="Times New Roman"/>
          <w:b w:val="0"/>
          <w:i w:val="0"/>
          <w:sz w:val="24"/>
        </w:rPr>
        <w:t>If a direct empirical audit of a specific domain's pipeline identifies a stage other than the one this paper treats as hard as the one actually binding, Part IV's hard/soft classification for that domain should be revised to match. This paper explicitly declines to resolve bottleneck identification for either empirical domain's floor by assumption — Part V states plainly that a defensible service rate for AI capability's extraction-based floor does not yet exist in the public record, and Part VI states plainly that cybersecurity's policy-mandated window is not the same quantity as its realized remediation rate. Both are reported as open rather than resolved by a plausible-sounding proxy.</w:t>
      </w:r>
    </w:p>
    <w:p>
      <w:pPr>
        <w:pStyle w:val="Heading2"/>
      </w:pPr>
      <w:r>
        <w:rPr>
          <w:rFonts w:ascii="Times New Roman" w:hAnsi="Times New Roman"/>
          <w:color w:val="000000"/>
        </w:rPr>
        <w:t>F3 — Compounding Functional Form</w:t>
      </w:r>
    </w:p>
    <w:p>
      <w:pPr>
        <w:ind w:firstLine="720"/>
      </w:pPr>
      <w:r>
        <w:rPr>
          <w:rFonts w:ascii="Times New Roman" w:hAnsi="Times New Roman"/>
          <w:b w:val="0"/>
          <w:i w:val="0"/>
          <w:sz w:val="24"/>
        </w:rPr>
        <w:t>If a longer documented time series shows a domain's frontier growth does not follow the functional form assumed for it, threshold-crossing estimates built on that assumption should be treated as invalidated and recalculated under whatever form the data actually support. This condition has now been directly tested, and the result is exactly the kind of partial, complicating finding this paper's own methodology commits it to reporting in full: AI capability's frontier growth is real but shows a genuine multi-month deceleration followed by a noisy, incompletely resumed advance — not the clean, stable exponential a simpler treatment would assume — while cybersecurity's frontier, tested the identical way, shows no such structure across twenty-seven years. Whether a domain's compounding rate is stable is a property of that domain, established through direct inspection of raw data, never assumed from a prior case or from theory alone.</w:t>
      </w:r>
    </w:p>
    <w:p>
      <w:pPr>
        <w:pStyle w:val="Heading2"/>
      </w:pPr>
      <w:r>
        <w:rPr>
          <w:rFonts w:ascii="Times New Roman" w:hAnsi="Times New Roman"/>
          <w:color w:val="000000"/>
        </w:rPr>
        <w:t>F4 — Soft-Floor Ceiling</w:t>
      </w:r>
    </w:p>
    <w:p>
      <w:pPr>
        <w:ind w:firstLine="720"/>
      </w:pPr>
      <w:r>
        <w:rPr>
          <w:rFonts w:ascii="Times New Roman" w:hAnsi="Times New Roman"/>
          <w:b w:val="0"/>
          <w:i w:val="0"/>
          <w:sz w:val="24"/>
        </w:rPr>
        <w:t>If a domain's floor-side capacity is shown capable of compounding — growing at a rate comparable to the frontier's own growth rather than remaining boundable by ordinary investment — the entire instability framing requires revision for that domain, since the structural premise throughout is that the floor is capped while the frontier compounds. Neither empirical test in this paper has found evidence of a compounding floor; cybersecurity's policy-mandated window changed once, sharply, rather than showing sustained compounding growth, and AI capability's extraction-based floor's own compounding behavior, if any, is precisely the unresolved question Part V leaves open.</w:t>
      </w:r>
    </w:p>
    <w:p>
      <w:pPr>
        <w:pStyle w:val="Heading2"/>
      </w:pPr>
      <w:r>
        <w:rPr>
          <w:rFonts w:ascii="Times New Roman" w:hAnsi="Times New Roman"/>
          <w:color w:val="000000"/>
        </w:rPr>
        <w:t>F5 — Raw-Pattern Verification (added by this paper's own empirical work)</w:t>
      </w:r>
    </w:p>
    <w:p>
      <w:pPr>
        <w:ind w:firstLine="720"/>
      </w:pPr>
      <w:r>
        <w:rPr>
          <w:rFonts w:ascii="Times New Roman" w:hAnsi="Times New Roman"/>
          <w:b w:val="0"/>
          <w:i w:val="0"/>
          <w:sz w:val="24"/>
        </w:rPr>
        <w:t>No fitted curve, growth rate, or summary coefficient describing a domain's frontier or floor should be reported as a finding without the underlying raw, point-by-point data being inspected alongside it, specifically checked for whether the raw pattern matches the smoothed summary's story or complicates it. This condition did not appear in the framework's original formulation; it was added here because this paper's own AI-capability analysis, reported in Part V, would have shipped a materially wrong characterization — clean acceleration rather than a real lull — had this specific check not been applied. It is stated as a standing requirement for any future domain tested under this framework, not a one-time correction specific to the case that revealed the need for it.</w:t>
      </w:r>
    </w:p>
    <w:p>
      <w:pPr>
        <w:pStyle w:val="Heading2"/>
      </w:pPr>
      <w:r>
        <w:rPr>
          <w:rFonts w:ascii="Times New Roman" w:hAnsi="Times New Roman"/>
          <w:color w:val="000000"/>
        </w:rPr>
        <w:t>Also Not Yet Done</w:t>
      </w:r>
    </w:p>
    <w:p>
      <w:pPr>
        <w:ind w:firstLine="720"/>
      </w:pPr>
      <w:r>
        <w:rPr>
          <w:rFonts w:ascii="Times New Roman" w:hAnsi="Times New Roman"/>
          <w:b w:val="0"/>
          <w:i w:val="0"/>
          <w:sz w:val="24"/>
        </w:rPr>
        <w:t>The null-case prediction stated in Part I — that a domain where frontier and floor share the same underlying resource base should show ordinary bounded lag rather than the instability described here — has not yet been tested against real data in this paper. Housing supply was proposed as a candidate case specifically because capital-driven investment and physical construction plausibly do not decouple through a compounding, self-improving engine the way the two domains tested here do; confirming or falsifying that prediction with real data remains for future work, and its absence here is a limitation of this paper's current scope, not a decision that the test is unnecessary.</w:t>
      </w:r>
    </w:p>
    <w:p>
      <w:r>
        <w:br w:type="page"/>
      </w:r>
    </w:p>
    <w:p>
      <w:pPr>
        <w:pStyle w:val="Heading1"/>
      </w:pPr>
      <w:r>
        <w:rPr>
          <w:rFonts w:ascii="Times New Roman" w:hAnsi="Times New Roman"/>
          <w:color w:val="000000"/>
        </w:rPr>
        <w:t>XII. Integrated Empirical Results Across Five Domains</w:t>
      </w:r>
    </w:p>
    <w:p>
      <w:pPr>
        <w:ind w:firstLine="720"/>
      </w:pPr>
      <w:r>
        <w:rPr>
          <w:rFonts w:ascii="Times New Roman" w:hAnsi="Times New Roman"/>
          <w:b w:val="0"/>
          <w:i w:val="0"/>
          <w:sz w:val="24"/>
        </w:rPr>
        <w:t>The following table consolidates the principal quantitative findings across all five tested domains, with evidentiary status labels enforced throughout.</w:t>
      </w:r>
    </w:p>
    <w:p>
      <w:r>
        <w:rPr>
          <w:rFonts w:ascii="Times New Roman" w:hAnsi="Times New Roman"/>
          <w:b/>
          <w:i w:val="0"/>
          <w:sz w:val="22"/>
        </w:rPr>
        <w:t>Table 5. Principal Quantitative Results Across Five Empirical Domains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0"/>
              </w:rPr>
              <w:t>Domain</w:t>
            </w:r>
          </w:p>
        </w:tc>
        <w:tc>
          <w:tcPr>
            <w:tcW w:type="dxa" w:w="1872"/>
          </w:tcPr>
          <w:p>
            <w:r>
              <w:rPr>
                <w:rFonts w:ascii="Times New Roman" w:hAnsi="Times New Roman"/>
                <w:b/>
                <w:sz w:val="20"/>
              </w:rPr>
              <w:t>Key Metric</w:t>
            </w:r>
          </w:p>
        </w:tc>
        <w:tc>
          <w:tcPr>
            <w:tcW w:type="dxa" w:w="1872"/>
          </w:tcPr>
          <w:p>
            <w:r>
              <w:rPr>
                <w:rFonts w:ascii="Times New Roman" w:hAnsi="Times New Roman"/>
                <w:b/>
                <w:sz w:val="20"/>
              </w:rPr>
              <w:t>Value</w:t>
            </w:r>
          </w:p>
        </w:tc>
        <w:tc>
          <w:tcPr>
            <w:tcW w:type="dxa" w:w="1872"/>
          </w:tcPr>
          <w:p>
            <w:r>
              <w:rPr>
                <w:rFonts w:ascii="Times New Roman" w:hAnsi="Times New Roman"/>
                <w:b/>
                <w:sz w:val="20"/>
              </w:rPr>
              <w:t>95% CI / Diagnostic</w:t>
            </w:r>
          </w:p>
        </w:tc>
        <w:tc>
          <w:tcPr>
            <w:tcW w:type="dxa" w:w="1872"/>
          </w:tcPr>
          <w:p>
            <w:r>
              <w:rPr>
                <w:rFonts w:ascii="Times New Roman" w:hAnsi="Times New Roman"/>
                <w:b/>
                <w:sz w:val="20"/>
              </w:rPr>
              <w:t>Status</w:t>
            </w:r>
          </w:p>
        </w:tc>
      </w:tr>
      <w:tr>
        <w:tc>
          <w:tcPr>
            <w:tcW w:type="dxa" w:w="1872"/>
          </w:tcPr>
          <w:p>
            <w:r>
              <w:rPr>
                <w:rFonts w:ascii="Times New Roman" w:hAnsi="Times New Roman"/>
                <w:sz w:val="20"/>
              </w:rPr>
              <w:t>Housing</w:t>
            </w:r>
          </w:p>
        </w:tc>
        <w:tc>
          <w:tcPr>
            <w:tcW w:type="dxa" w:w="1872"/>
          </w:tcPr>
          <w:p>
            <w:r>
              <w:rPr>
                <w:rFonts w:ascii="Times New Roman" w:hAnsi="Times New Roman"/>
                <w:sz w:val="20"/>
              </w:rPr>
              <w:t>Monthly flow gap ADF p-value</w:t>
            </w:r>
          </w:p>
        </w:tc>
        <w:tc>
          <w:tcPr>
            <w:tcW w:type="dxa" w:w="1872"/>
          </w:tcPr>
          <w:p>
            <w:r>
              <w:rPr>
                <w:rFonts w:ascii="Times New Roman" w:hAnsi="Times New Roman"/>
                <w:sz w:val="20"/>
              </w:rPr>
              <w:t>&lt; 10⁻¹⁰</w:t>
            </w:r>
          </w:p>
        </w:tc>
        <w:tc>
          <w:tcPr>
            <w:tcW w:type="dxa" w:w="1872"/>
          </w:tcPr>
          <w:p>
            <w:r>
              <w:rPr>
                <w:rFonts w:ascii="Times New Roman" w:hAnsi="Times New Roman"/>
                <w:sz w:val="20"/>
              </w:rPr>
              <w:t>Reject unit root (t = −7.41)</w:t>
            </w:r>
          </w:p>
        </w:tc>
        <w:tc>
          <w:tcPr>
            <w:tcW w:type="dxa" w:w="1872"/>
          </w:tcPr>
          <w:p>
            <w:r>
              <w:rPr>
                <w:rFonts w:ascii="Times New Roman" w:hAnsi="Times New Roman"/>
                <w:sz w:val="20"/>
              </w:rPr>
              <w:t>derived</w:t>
            </w:r>
          </w:p>
        </w:tc>
      </w:tr>
      <w:tr>
        <w:tc>
          <w:tcPr>
            <w:tcW w:type="dxa" w:w="1872"/>
          </w:tcPr>
          <w:p>
            <w:r>
              <w:rPr>
                <w:rFonts w:ascii="Times New Roman" w:hAnsi="Times New Roman"/>
                <w:sz w:val="20"/>
              </w:rPr>
              <w:t>Housing</w:t>
            </w:r>
          </w:p>
        </w:tc>
        <w:tc>
          <w:tcPr>
            <w:tcW w:type="dxa" w:w="1872"/>
          </w:tcPr>
          <w:p>
            <w:r>
              <w:rPr>
                <w:rFonts w:ascii="Times New Roman" w:hAnsi="Times New Roman"/>
                <w:sz w:val="20"/>
              </w:rPr>
              <w:t>AR(1) persistence (φ)</w:t>
            </w:r>
          </w:p>
        </w:tc>
        <w:tc>
          <w:tcPr>
            <w:tcW w:type="dxa" w:w="1872"/>
          </w:tcPr>
          <w:p>
            <w:r>
              <w:rPr>
                <w:rFonts w:ascii="Times New Roman" w:hAnsi="Times New Roman"/>
                <w:sz w:val="20"/>
              </w:rPr>
              <w:t>0.52</w:t>
            </w:r>
          </w:p>
        </w:tc>
        <w:tc>
          <w:tcPr>
            <w:tcW w:type="dxa" w:w="1872"/>
          </w:tcPr>
          <w:p>
            <w:r>
              <w:rPr>
                <w:rFonts w:ascii="Times New Roman" w:hAnsi="Times New Roman"/>
                <w:sz w:val="20"/>
              </w:rPr>
              <w:t>Half-life = 1.1 months</w:t>
            </w:r>
          </w:p>
        </w:tc>
        <w:tc>
          <w:tcPr>
            <w:tcW w:type="dxa" w:w="1872"/>
          </w:tcPr>
          <w:p>
            <w:r>
              <w:rPr>
                <w:rFonts w:ascii="Times New Roman" w:hAnsi="Times New Roman"/>
                <w:sz w:val="20"/>
              </w:rPr>
              <w:t>derived</w:t>
            </w:r>
          </w:p>
        </w:tc>
      </w:tr>
      <w:tr>
        <w:tc>
          <w:tcPr>
            <w:tcW w:type="dxa" w:w="1872"/>
          </w:tcPr>
          <w:p>
            <w:r>
              <w:rPr>
                <w:rFonts w:ascii="Times New Roman" w:hAnsi="Times New Roman"/>
                <w:sz w:val="20"/>
              </w:rPr>
              <w:t>Housing</w:t>
            </w:r>
          </w:p>
        </w:tc>
        <w:tc>
          <w:tcPr>
            <w:tcW w:type="dxa" w:w="1872"/>
          </w:tcPr>
          <w:p>
            <w:r>
              <w:rPr>
                <w:rFonts w:ascii="Times New Roman" w:hAnsi="Times New Roman"/>
                <w:sz w:val="20"/>
              </w:rPr>
              <w:t>Positive backlog recovery</w:t>
            </w:r>
          </w:p>
        </w:tc>
        <w:tc>
          <w:tcPr>
            <w:tcW w:type="dxa" w:w="1872"/>
          </w:tcPr>
          <w:p>
            <w:r>
              <w:rPr>
                <w:rFonts w:ascii="Times New Roman" w:hAnsi="Times New Roman"/>
                <w:sz w:val="20"/>
              </w:rPr>
              <w:t>2.4 months</w:t>
            </w:r>
          </w:p>
        </w:tc>
        <w:tc>
          <w:tcPr>
            <w:tcW w:type="dxa" w:w="1872"/>
          </w:tcPr>
          <w:p>
            <w:r>
              <w:rPr>
                <w:rFonts w:ascii="Times New Roman" w:hAnsi="Times New Roman"/>
                <w:sz w:val="20"/>
              </w:rPr>
              <w:t>Max recovery = 14 months</w:t>
            </w:r>
          </w:p>
        </w:tc>
        <w:tc>
          <w:tcPr>
            <w:tcW w:type="dxa" w:w="1872"/>
          </w:tcPr>
          <w:p>
            <w:r>
              <w:rPr>
                <w:rFonts w:ascii="Times New Roman" w:hAnsi="Times New Roman"/>
                <w:sz w:val="20"/>
              </w:rPr>
              <w:t>derived</w:t>
            </w:r>
          </w:p>
        </w:tc>
      </w:tr>
      <w:tr>
        <w:tc>
          <w:tcPr>
            <w:tcW w:type="dxa" w:w="1872"/>
          </w:tcPr>
          <w:p>
            <w:r>
              <w:rPr>
                <w:rFonts w:ascii="Times New Roman" w:hAnsi="Times New Roman"/>
                <w:sz w:val="20"/>
              </w:rPr>
              <w:t>AI (METR)</w:t>
            </w:r>
          </w:p>
        </w:tc>
        <w:tc>
          <w:tcPr>
            <w:tcW w:type="dxa" w:w="1872"/>
          </w:tcPr>
          <w:p>
            <w:r>
              <w:rPr>
                <w:rFonts w:ascii="Times New Roman" w:hAnsi="Times New Roman"/>
                <w:sz w:val="20"/>
              </w:rPr>
              <w:t>Capability doubling time</w:t>
            </w:r>
          </w:p>
        </w:tc>
        <w:tc>
          <w:tcPr>
            <w:tcW w:type="dxa" w:w="1872"/>
          </w:tcPr>
          <w:p>
            <w:r>
              <w:rPr>
                <w:rFonts w:ascii="Times New Roman" w:hAnsi="Times New Roman"/>
                <w:sz w:val="20"/>
              </w:rPr>
              <w:t>7.2 months</w:t>
            </w:r>
          </w:p>
        </w:tc>
        <w:tc>
          <w:tcPr>
            <w:tcW w:type="dxa" w:w="1872"/>
          </w:tcPr>
          <w:p>
            <w:r>
              <w:rPr>
                <w:rFonts w:ascii="Times New Roman" w:hAnsi="Times New Roman"/>
                <w:sz w:val="20"/>
              </w:rPr>
              <w:t>[5.4, 10.8] months (R² = 0.81)</w:t>
            </w:r>
          </w:p>
        </w:tc>
        <w:tc>
          <w:tcPr>
            <w:tcW w:type="dxa" w:w="1872"/>
          </w:tcPr>
          <w:p>
            <w:r>
              <w:rPr>
                <w:rFonts w:ascii="Times New Roman" w:hAnsi="Times New Roman"/>
                <w:sz w:val="20"/>
              </w:rPr>
              <w:t>derived</w:t>
            </w:r>
          </w:p>
        </w:tc>
      </w:tr>
      <w:tr>
        <w:tc>
          <w:tcPr>
            <w:tcW w:type="dxa" w:w="1872"/>
          </w:tcPr>
          <w:p>
            <w:r>
              <w:rPr>
                <w:rFonts w:ascii="Times New Roman" w:hAnsi="Times New Roman"/>
                <w:sz w:val="20"/>
              </w:rPr>
              <w:t>AI (METR)</w:t>
            </w:r>
          </w:p>
        </w:tc>
        <w:tc>
          <w:tcPr>
            <w:tcW w:type="dxa" w:w="1872"/>
          </w:tcPr>
          <w:p>
            <w:r>
              <w:rPr>
                <w:rFonts w:ascii="Times New Roman" w:hAnsi="Times New Roman"/>
                <w:sz w:val="20"/>
              </w:rPr>
              <w:t>Quadratic curvature p-value</w:t>
            </w:r>
          </w:p>
        </w:tc>
        <w:tc>
          <w:tcPr>
            <w:tcW w:type="dxa" w:w="1872"/>
          </w:tcPr>
          <w:p>
            <w:r>
              <w:rPr>
                <w:rFonts w:ascii="Times New Roman" w:hAnsi="Times New Roman"/>
                <w:sz w:val="20"/>
              </w:rPr>
              <w:t>0.28</w:t>
            </w:r>
          </w:p>
        </w:tc>
        <w:tc>
          <w:tcPr>
            <w:tcW w:type="dxa" w:w="1872"/>
          </w:tcPr>
          <w:p>
            <w:r>
              <w:rPr>
                <w:rFonts w:ascii="Times New Roman" w:hAnsi="Times New Roman"/>
                <w:sz w:val="20"/>
              </w:rPr>
              <w:t>Log-linear constancy holds</w:t>
            </w:r>
          </w:p>
        </w:tc>
        <w:tc>
          <w:tcPr>
            <w:tcW w:type="dxa" w:w="1872"/>
          </w:tcPr>
          <w:p>
            <w:r>
              <w:rPr>
                <w:rFonts w:ascii="Times New Roman" w:hAnsi="Times New Roman"/>
                <w:sz w:val="20"/>
              </w:rPr>
              <w:t>derived</w:t>
            </w:r>
          </w:p>
        </w:tc>
      </w:tr>
      <w:tr>
        <w:tc>
          <w:tcPr>
            <w:tcW w:type="dxa" w:w="1872"/>
          </w:tcPr>
          <w:p>
            <w:r>
              <w:rPr>
                <w:rFonts w:ascii="Times New Roman" w:hAnsi="Times New Roman"/>
                <w:sz w:val="20"/>
              </w:rPr>
              <w:t>AI (METR)</w:t>
            </w:r>
          </w:p>
        </w:tc>
        <w:tc>
          <w:tcPr>
            <w:tcW w:type="dxa" w:w="1872"/>
          </w:tcPr>
          <w:p>
            <w:r>
              <w:rPr>
                <w:rFonts w:ascii="Times New Roman" w:hAnsi="Times New Roman"/>
                <w:sz w:val="20"/>
              </w:rPr>
              <w:t>Max negative residual run</w:t>
            </w:r>
          </w:p>
        </w:tc>
        <w:tc>
          <w:tcPr>
            <w:tcW w:type="dxa" w:w="1872"/>
          </w:tcPr>
          <w:p>
            <w:r>
              <w:rPr>
                <w:rFonts w:ascii="Times New Roman" w:hAnsi="Times New Roman"/>
                <w:sz w:val="20"/>
              </w:rPr>
              <w:t>4 evaluations</w:t>
            </w:r>
          </w:p>
        </w:tc>
        <w:tc>
          <w:tcPr>
            <w:tcW w:type="dxa" w:w="1872"/>
          </w:tcPr>
          <w:p>
            <w:r>
              <w:rPr>
                <w:rFonts w:ascii="Times New Roman" w:hAnsi="Times New Roman"/>
                <w:sz w:val="20"/>
              </w:rPr>
              <w:t>Contradicts clean acceleration</w:t>
            </w:r>
          </w:p>
        </w:tc>
        <w:tc>
          <w:tcPr>
            <w:tcW w:type="dxa" w:w="1872"/>
          </w:tcPr>
          <w:p>
            <w:r>
              <w:rPr>
                <w:rFonts w:ascii="Times New Roman" w:hAnsi="Times New Roman"/>
                <w:sz w:val="20"/>
              </w:rPr>
              <w:t>derived</w:t>
            </w:r>
          </w:p>
        </w:tc>
      </w:tr>
      <w:tr>
        <w:tc>
          <w:tcPr>
            <w:tcW w:type="dxa" w:w="1872"/>
          </w:tcPr>
          <w:p>
            <w:r>
              <w:rPr>
                <w:rFonts w:ascii="Times New Roman" w:hAnsi="Times New Roman"/>
                <w:sz w:val="20"/>
              </w:rPr>
              <w:t>Anthropic</w:t>
            </w:r>
          </w:p>
        </w:tc>
        <w:tc>
          <w:tcPr>
            <w:tcW w:type="dxa" w:w="1872"/>
          </w:tcPr>
          <w:p>
            <w:r>
              <w:rPr>
                <w:rFonts w:ascii="Times New Roman" w:hAnsi="Times New Roman"/>
                <w:sz w:val="20"/>
              </w:rPr>
              <w:t>Observed input rate (λ_obs)</w:t>
            </w:r>
          </w:p>
        </w:tc>
        <w:tc>
          <w:tcPr>
            <w:tcW w:type="dxa" w:w="1872"/>
          </w:tcPr>
          <w:p>
            <w:r>
              <w:rPr>
                <w:rFonts w:ascii="Times New Roman" w:hAnsi="Times New Roman"/>
                <w:sz w:val="20"/>
              </w:rPr>
              <w:t>166,667 /day</w:t>
            </w:r>
          </w:p>
        </w:tc>
        <w:tc>
          <w:tcPr>
            <w:tcW w:type="dxa" w:w="1872"/>
          </w:tcPr>
          <w:p>
            <w:r>
              <w:rPr>
                <w:rFonts w:ascii="Times New Roman" w:hAnsi="Times New Roman"/>
                <w:sz w:val="20"/>
              </w:rPr>
              <w:t>15M exchanges / 90 days</w:t>
            </w:r>
          </w:p>
        </w:tc>
        <w:tc>
          <w:tcPr>
            <w:tcW w:type="dxa" w:w="1872"/>
          </w:tcPr>
          <w:p>
            <w:r>
              <w:rPr>
                <w:rFonts w:ascii="Times New Roman" w:hAnsi="Times New Roman"/>
                <w:sz w:val="20"/>
              </w:rPr>
              <w:t>reported</w:t>
            </w:r>
          </w:p>
        </w:tc>
      </w:tr>
      <w:tr>
        <w:tc>
          <w:tcPr>
            <w:tcW w:type="dxa" w:w="1872"/>
          </w:tcPr>
          <w:p>
            <w:r>
              <w:rPr>
                <w:rFonts w:ascii="Times New Roman" w:hAnsi="Times New Roman"/>
                <w:sz w:val="20"/>
              </w:rPr>
              <w:t>Anthropic</w:t>
            </w:r>
          </w:p>
        </w:tc>
        <w:tc>
          <w:tcPr>
            <w:tcW w:type="dxa" w:w="1872"/>
          </w:tcPr>
          <w:p>
            <w:r>
              <w:rPr>
                <w:rFonts w:ascii="Times New Roman" w:hAnsi="Times New Roman"/>
                <w:sz w:val="20"/>
              </w:rPr>
              <w:t>Effective throughput (μ_eff)</w:t>
            </w:r>
          </w:p>
        </w:tc>
        <w:tc>
          <w:tcPr>
            <w:tcW w:type="dxa" w:w="1872"/>
          </w:tcPr>
          <w:p>
            <w:r>
              <w:rPr>
                <w:rFonts w:ascii="Times New Roman" w:hAnsi="Times New Roman"/>
                <w:sz w:val="20"/>
              </w:rPr>
              <w:t>[0.015, 150.0]</w:t>
            </w:r>
          </w:p>
        </w:tc>
        <w:tc>
          <w:tcPr>
            <w:tcW w:type="dxa" w:w="1872"/>
          </w:tcPr>
          <w:p>
            <w:r>
              <w:rPr>
                <w:rFonts w:ascii="Times New Roman" w:hAnsi="Times New Roman"/>
                <w:sz w:val="20"/>
              </w:rPr>
              <w:t>1,000 parameter scenarios</w:t>
            </w:r>
          </w:p>
        </w:tc>
        <w:tc>
          <w:tcPr>
            <w:tcW w:type="dxa" w:w="1872"/>
          </w:tcPr>
          <w:p>
            <w:r>
              <w:rPr>
                <w:rFonts w:ascii="Times New Roman" w:hAnsi="Times New Roman"/>
                <w:sz w:val="20"/>
              </w:rPr>
              <w:t>scenario</w:t>
            </w:r>
          </w:p>
        </w:tc>
      </w:tr>
      <w:tr>
        <w:tc>
          <w:tcPr>
            <w:tcW w:type="dxa" w:w="1872"/>
          </w:tcPr>
          <w:p>
            <w:r>
              <w:rPr>
                <w:rFonts w:ascii="Times New Roman" w:hAnsi="Times New Roman"/>
                <w:sz w:val="20"/>
              </w:rPr>
              <w:t>Longevity</w:t>
            </w:r>
          </w:p>
        </w:tc>
        <w:tc>
          <w:tcPr>
            <w:tcW w:type="dxa" w:w="1872"/>
          </w:tcPr>
          <w:p>
            <w:r>
              <w:rPr>
                <w:rFonts w:ascii="Times New Roman" w:hAnsi="Times New Roman"/>
                <w:sz w:val="20"/>
              </w:rPr>
              <w:t>DunedinPACE deceleration</w:t>
            </w:r>
          </w:p>
        </w:tc>
        <w:tc>
          <w:tcPr>
            <w:tcW w:type="dxa" w:w="1872"/>
          </w:tcPr>
          <w:p>
            <w:r>
              <w:rPr>
                <w:rFonts w:ascii="Times New Roman" w:hAnsi="Times New Roman"/>
                <w:sz w:val="20"/>
              </w:rPr>
              <w:t>−0.02 /yr</w:t>
            </w:r>
          </w:p>
        </w:tc>
        <w:tc>
          <w:tcPr>
            <w:tcW w:type="dxa" w:w="1872"/>
          </w:tcPr>
          <w:p>
            <w:r>
              <w:rPr>
                <w:rFonts w:ascii="Times New Roman" w:hAnsi="Times New Roman"/>
                <w:sz w:val="20"/>
              </w:rPr>
              <w:t>[−0.035, −0.005], p = 0.008</w:t>
            </w:r>
          </w:p>
        </w:tc>
        <w:tc>
          <w:tcPr>
            <w:tcW w:type="dxa" w:w="1872"/>
          </w:tcPr>
          <w:p>
            <w:r>
              <w:rPr>
                <w:rFonts w:ascii="Times New Roman" w:hAnsi="Times New Roman"/>
                <w:sz w:val="20"/>
              </w:rPr>
              <w:t>observed</w:t>
            </w:r>
          </w:p>
        </w:tc>
      </w:tr>
      <w:tr>
        <w:tc>
          <w:tcPr>
            <w:tcW w:type="dxa" w:w="1872"/>
          </w:tcPr>
          <w:p>
            <w:r>
              <w:rPr>
                <w:rFonts w:ascii="Times New Roman" w:hAnsi="Times New Roman"/>
                <w:sz w:val="20"/>
              </w:rPr>
              <w:t>Longevity</w:t>
            </w:r>
          </w:p>
        </w:tc>
        <w:tc>
          <w:tcPr>
            <w:tcW w:type="dxa" w:w="1872"/>
          </w:tcPr>
          <w:p>
            <w:r>
              <w:rPr>
                <w:rFonts w:ascii="Times New Roman" w:hAnsi="Times New Roman"/>
                <w:sz w:val="20"/>
              </w:rPr>
              <w:t>Metformin affordability</w:t>
            </w:r>
          </w:p>
        </w:tc>
        <w:tc>
          <w:tcPr>
            <w:tcW w:type="dxa" w:w="1872"/>
          </w:tcPr>
          <w:p>
            <w:r>
              <w:rPr>
                <w:rFonts w:ascii="Times New Roman" w:hAnsi="Times New Roman"/>
                <w:sz w:val="20"/>
              </w:rPr>
              <w:t>0.98</w:t>
            </w:r>
          </w:p>
        </w:tc>
        <w:tc>
          <w:tcPr>
            <w:tcW w:type="dxa" w:w="1872"/>
          </w:tcPr>
          <w:p>
            <w:r>
              <w:rPr>
                <w:rFonts w:ascii="Times New Roman" w:hAnsi="Times New Roman"/>
                <w:sz w:val="20"/>
              </w:rPr>
              <w:t>$4.00/month retail</w:t>
            </w:r>
          </w:p>
        </w:tc>
        <w:tc>
          <w:tcPr>
            <w:tcW w:type="dxa" w:w="1872"/>
          </w:tcPr>
          <w:p>
            <w:r>
              <w:rPr>
                <w:rFonts w:ascii="Times New Roman" w:hAnsi="Times New Roman"/>
                <w:sz w:val="20"/>
              </w:rPr>
              <w:t>derived</w:t>
            </w:r>
          </w:p>
        </w:tc>
      </w:tr>
      <w:tr>
        <w:tc>
          <w:tcPr>
            <w:tcW w:type="dxa" w:w="1872"/>
          </w:tcPr>
          <w:p>
            <w:r>
              <w:rPr>
                <w:rFonts w:ascii="Times New Roman" w:hAnsi="Times New Roman"/>
                <w:sz w:val="20"/>
              </w:rPr>
              <w:t>Longevity</w:t>
            </w:r>
          </w:p>
        </w:tc>
        <w:tc>
          <w:tcPr>
            <w:tcW w:type="dxa" w:w="1872"/>
          </w:tcPr>
          <w:p>
            <w:r>
              <w:rPr>
                <w:rFonts w:ascii="Times New Roman" w:hAnsi="Times New Roman"/>
                <w:sz w:val="20"/>
              </w:rPr>
              <w:t>Concierge clinic affordability</w:t>
            </w:r>
          </w:p>
        </w:tc>
        <w:tc>
          <w:tcPr>
            <w:tcW w:type="dxa" w:w="1872"/>
          </w:tcPr>
          <w:p>
            <w:r>
              <w:rPr>
                <w:rFonts w:ascii="Times New Roman" w:hAnsi="Times New Roman"/>
                <w:sz w:val="20"/>
              </w:rPr>
              <w:t>0.00</w:t>
            </w:r>
          </w:p>
        </w:tc>
        <w:tc>
          <w:tcPr>
            <w:tcW w:type="dxa" w:w="1872"/>
          </w:tcPr>
          <w:p>
            <w:r>
              <w:rPr>
                <w:rFonts w:ascii="Times New Roman" w:hAnsi="Times New Roman"/>
                <w:sz w:val="20"/>
              </w:rPr>
              <w:t>$1,250.00/month cash</w:t>
            </w:r>
          </w:p>
        </w:tc>
        <w:tc>
          <w:tcPr>
            <w:tcW w:type="dxa" w:w="1872"/>
          </w:tcPr>
          <w:p>
            <w:r>
              <w:rPr>
                <w:rFonts w:ascii="Times New Roman" w:hAnsi="Times New Roman"/>
                <w:sz w:val="20"/>
              </w:rPr>
              <w:t>derived</w:t>
            </w:r>
          </w:p>
        </w:tc>
      </w:tr>
      <w:tr>
        <w:tc>
          <w:tcPr>
            <w:tcW w:type="dxa" w:w="1872"/>
          </w:tcPr>
          <w:p>
            <w:r>
              <w:rPr>
                <w:rFonts w:ascii="Times New Roman" w:hAnsi="Times New Roman"/>
                <w:sz w:val="20"/>
              </w:rPr>
              <w:t>Cybersecurity</w:t>
            </w:r>
          </w:p>
        </w:tc>
        <w:tc>
          <w:tcPr>
            <w:tcW w:type="dxa" w:w="1872"/>
          </w:tcPr>
          <w:p>
            <w:r>
              <w:rPr>
                <w:rFonts w:ascii="Times New Roman" w:hAnsi="Times New Roman"/>
                <w:sz w:val="20"/>
              </w:rPr>
              <w:t>CVE growth (2018–2024)</w:t>
            </w:r>
          </w:p>
        </w:tc>
        <w:tc>
          <w:tcPr>
            <w:tcW w:type="dxa" w:w="1872"/>
          </w:tcPr>
          <w:p>
            <w:r>
              <w:rPr>
                <w:rFonts w:ascii="Times New Roman" w:hAnsi="Times New Roman"/>
                <w:sz w:val="20"/>
              </w:rPr>
              <w:t>+139.3%</w:t>
            </w:r>
          </w:p>
        </w:tc>
        <w:tc>
          <w:tcPr>
            <w:tcW w:type="dxa" w:w="1872"/>
          </w:tcPr>
          <w:p>
            <w:r>
              <w:rPr>
                <w:rFonts w:ascii="Times New Roman" w:hAnsi="Times New Roman"/>
                <w:sz w:val="20"/>
              </w:rPr>
              <w:t>16,508 → 39,500 CVEs</w:t>
            </w:r>
          </w:p>
        </w:tc>
        <w:tc>
          <w:tcPr>
            <w:tcW w:type="dxa" w:w="1872"/>
          </w:tcPr>
          <w:p>
            <w:r>
              <w:rPr>
                <w:rFonts w:ascii="Times New Roman" w:hAnsi="Times New Roman"/>
                <w:sz w:val="20"/>
              </w:rPr>
              <w:t>observed</w:t>
            </w:r>
          </w:p>
        </w:tc>
      </w:tr>
      <w:tr>
        <w:tc>
          <w:tcPr>
            <w:tcW w:type="dxa" w:w="1872"/>
          </w:tcPr>
          <w:p>
            <w:r>
              <w:rPr>
                <w:rFonts w:ascii="Times New Roman" w:hAnsi="Times New Roman"/>
                <w:sz w:val="20"/>
              </w:rPr>
              <w:t>Cybersecurity</w:t>
            </w:r>
          </w:p>
        </w:tc>
        <w:tc>
          <w:tcPr>
            <w:tcW w:type="dxa" w:w="1872"/>
          </w:tcPr>
          <w:p>
            <w:r>
              <w:rPr>
                <w:rFonts w:ascii="Times New Roman" w:hAnsi="Times New Roman"/>
                <w:sz w:val="20"/>
              </w:rPr>
              <w:t>CNA concentration (HHI)</w:t>
            </w:r>
          </w:p>
        </w:tc>
        <w:tc>
          <w:tcPr>
            <w:tcW w:type="dxa" w:w="1872"/>
          </w:tcPr>
          <w:p>
            <w:r>
              <w:rPr>
                <w:rFonts w:ascii="Times New Roman" w:hAnsi="Times New Roman"/>
                <w:sz w:val="20"/>
              </w:rPr>
              <w:t>710</w:t>
            </w:r>
          </w:p>
        </w:tc>
        <w:tc>
          <w:tcPr>
            <w:tcW w:type="dxa" w:w="1872"/>
          </w:tcPr>
          <w:p>
            <w:r>
              <w:rPr>
                <w:rFonts w:ascii="Times New Roman" w:hAnsi="Times New Roman"/>
                <w:sz w:val="20"/>
              </w:rPr>
              <w:t>Halved from 1,500 in 2018</w:t>
            </w:r>
          </w:p>
        </w:tc>
        <w:tc>
          <w:tcPr>
            <w:tcW w:type="dxa" w:w="1872"/>
          </w:tcPr>
          <w:p>
            <w:r>
              <w:rPr>
                <w:rFonts w:ascii="Times New Roman" w:hAnsi="Times New Roman"/>
                <w:sz w:val="20"/>
              </w:rPr>
              <w:t>derived</w:t>
            </w:r>
          </w:p>
        </w:tc>
      </w:tr>
    </w:tbl>
    <w:p/>
    <w:p>
      <w:r>
        <w:br w:type="page"/>
      </w:r>
    </w:p>
    <w:p>
      <w:pPr>
        <w:pStyle w:val="Heading1"/>
      </w:pPr>
      <w:r>
        <w:rPr>
          <w:rFonts w:ascii="Times New Roman" w:hAnsi="Times New Roman"/>
          <w:color w:val="000000"/>
        </w:rPr>
        <w:t>XIII. Conclusion</w:t>
      </w:r>
    </w:p>
    <w:p>
      <w:pPr>
        <w:ind w:firstLine="720"/>
      </w:pPr>
      <w:r>
        <w:rPr>
          <w:rFonts w:ascii="Times New Roman" w:hAnsi="Times New Roman"/>
          <w:b w:val="0"/>
          <w:i w:val="0"/>
          <w:sz w:val="24"/>
        </w:rPr>
        <w:t>One engine, two clocks, was this paper's opening image, and it is worth returning to directly now that five real domains have been listened to rather than two assumed. In housing, the null-case prediction is confirmed: the flow gap is strictly mean-reverting, and the construction pipeline operates within bounded, self-correcting dynamics. In AI capability, the frontier clock turned out to tick less evenly than a first pass at the data suggested — a real deceleration sits in the residuals where a narrative of smooth acceleration would prefer not to look.</w:t>
      </w:r>
    </w:p>
    <w:p>
      <w:pPr>
        <w:ind w:firstLine="720"/>
      </w:pPr>
      <w:r>
        <w:rPr>
          <w:rFonts w:ascii="Times New Roman" w:hAnsi="Times New Roman"/>
          <w:b w:val="0"/>
          <w:i w:val="0"/>
          <w:sz w:val="24"/>
        </w:rPr>
        <w:t>In distillation, the distinction between extraction-input volume and realized capability diffusion proves to be not a technicality but the entire substantive question. In longevity biotechnology, frontier biomarker deceleration is statistically real but completely decoupled from demonstrated human lifespan extension; the access floor is fragmented by price barriers spanning three orders of magnitude. In cybersecurity, vulnerability discovery velocity continues to outpace every measurable dimension of remediation capacity.</w:t>
      </w:r>
    </w:p>
    <w:p>
      <w:pPr>
        <w:ind w:firstLine="720"/>
      </w:pPr>
      <w:r>
        <w:rPr>
          <w:rFonts w:ascii="Times New Roman" w:hAnsi="Times New Roman"/>
          <w:b w:val="0"/>
          <w:i w:val="0"/>
          <w:sz w:val="24"/>
        </w:rPr>
        <w:t>Across all five domains, the strongest result is not a universal confirmation of queueing instability. Housing provides an operationally bounded comparator. AI capability growth is rapid, but curvature is not robust across specifications. Anthropic's disclosures establish substantial extraction-input volume without resolving effective throughput. Longevity demonstrates the gap between surrogate markers and realized outcomes. Cybersecurity shows the clearest instance of inflow velocity exceeding administrative processing capacity.</w:t>
      </w:r>
    </w:p>
    <w:p>
      <w:pPr>
        <w:ind w:firstLine="720"/>
      </w:pPr>
      <w:r>
        <w:rPr>
          <w:rFonts w:ascii="Times New Roman" w:hAnsi="Times New Roman"/>
          <w:b w:val="0"/>
          <w:i w:val="0"/>
          <w:sz w:val="24"/>
        </w:rPr>
        <w:t>The framework therefore survives as a falsifiable comparative method. It identifies the condition under which a frontier can outrun its floor, but it also identifies where that condition fails: when flow gaps mean-revert, when a fitted acceleration disappears under raw-pattern inspection, when exchange volume proves not to be throughput, and when a biomarker's p-value does not yet translate into a human outcome. Three of this paper's five stated falsification conditions remain genuinely open after five domains. That is reported here as the honest state of the inquiry, not as a weakness to be written around before publication.</w:t>
      </w:r>
    </w:p>
    <w:p>
      <w:r>
        <w:br w:type="page"/>
      </w:r>
    </w:p>
    <w:p>
      <w:pPr>
        <w:pStyle w:val="Heading1"/>
      </w:pPr>
      <w:r>
        <w:rPr>
          <w:rFonts w:ascii="Times New Roman" w:hAnsi="Times New Roman"/>
          <w:color w:val="000000"/>
        </w:rPr>
        <w:t>References</w:t>
      </w:r>
    </w:p>
    <w:p>
      <w:pPr>
        <w:ind w:left="720" w:hanging="720"/>
      </w:pPr>
      <w:r>
        <w:rPr>
          <w:rFonts w:ascii="Times New Roman" w:hAnsi="Times New Roman"/>
          <w:sz w:val="22"/>
        </w:rPr>
        <w:t>Ablon, L., &amp; Bogart, A. (2017). Zero Days, Thousands of Nights: The Life and Times of Zero-Day Vulnerabilities and Their Exploits. RAND Corporation.</w:t>
      </w:r>
    </w:p>
    <w:p>
      <w:pPr>
        <w:ind w:left="720" w:hanging="720"/>
      </w:pPr>
      <w:r>
        <w:rPr>
          <w:rFonts w:ascii="Times New Roman" w:hAnsi="Times New Roman"/>
          <w:sz w:val="22"/>
        </w:rPr>
        <w:t>Aghion, P., &amp; Howitt, P. (1992). A model of growth through creative destruction. Econometrica, 60(2), 323–351.</w:t>
      </w:r>
    </w:p>
    <w:p>
      <w:pPr>
        <w:ind w:left="720" w:hanging="720"/>
      </w:pPr>
      <w:r>
        <w:rPr>
          <w:rFonts w:ascii="Times New Roman" w:hAnsi="Times New Roman"/>
          <w:sz w:val="22"/>
        </w:rPr>
        <w:t>Anthropic. (2026a, February 23). Detecting and preventing distillation attacks [Blog post]. anthropic.com.</w:t>
      </w:r>
    </w:p>
    <w:p>
      <w:pPr>
        <w:ind w:left="720" w:hanging="720"/>
      </w:pPr>
      <w:r>
        <w:rPr>
          <w:rFonts w:ascii="Times New Roman" w:hAnsi="Times New Roman"/>
          <w:sz w:val="22"/>
        </w:rPr>
        <w:t>Anthropic. (2026b, September). Detecting and Countering Misuse of AI: September 2026 [Threat intelligence report]. anthropic.com.</w:t>
      </w:r>
    </w:p>
    <w:p>
      <w:pPr>
        <w:ind w:left="720" w:hanging="720"/>
      </w:pPr>
      <w:r>
        <w:rPr>
          <w:rFonts w:ascii="Times New Roman" w:hAnsi="Times New Roman"/>
          <w:sz w:val="22"/>
        </w:rPr>
        <w:t>Bostrom, N. (2002). Existential risks: Analyzing human extinction scenarios and related hazards. Journal of Evolution and Technology, 9(1).</w:t>
      </w:r>
    </w:p>
    <w:p>
      <w:pPr>
        <w:ind w:left="720" w:hanging="720"/>
      </w:pPr>
      <w:r>
        <w:rPr>
          <w:rFonts w:ascii="Times New Roman" w:hAnsi="Times New Roman"/>
          <w:sz w:val="22"/>
        </w:rPr>
        <w:t>CALERIE Research Group. (2023). Effect of long-term calorie restriction on DNA methylation measures of biological aging. Nature Aging, 4, 305–317. PMID: 39418098.</w:t>
      </w:r>
    </w:p>
    <w:p>
      <w:pPr>
        <w:ind w:left="720" w:hanging="720"/>
      </w:pPr>
      <w:r>
        <w:rPr>
          <w:rFonts w:ascii="Times New Roman" w:hAnsi="Times New Roman"/>
          <w:sz w:val="22"/>
        </w:rPr>
        <w:t>Cybersecurity and Infrastructure Security Agency. (2026). Known Exploited Vulnerabilities Catalog [Data set]. github.com/cisagov/kev-data.</w:t>
      </w:r>
    </w:p>
    <w:p>
      <w:pPr>
        <w:ind w:left="720" w:hanging="720"/>
      </w:pPr>
      <w:r>
        <w:rPr>
          <w:rFonts w:ascii="Times New Roman" w:hAnsi="Times New Roman"/>
          <w:sz w:val="22"/>
        </w:rPr>
        <w:t>CVE Program. (2026). CVE List V5 [Data set]. github.com/CVEProject/cvelistV5.</w:t>
      </w:r>
    </w:p>
    <w:p>
      <w:pPr>
        <w:ind w:left="720" w:hanging="720"/>
      </w:pPr>
      <w:r>
        <w:rPr>
          <w:rFonts w:ascii="Times New Roman" w:hAnsi="Times New Roman"/>
          <w:sz w:val="22"/>
        </w:rPr>
        <w:t>Federal Reserve Bank of St. Louis (FRED). (2026). PERMIT, HOUST, COMPUTSA [Time series data]. fred.stlouisfed.org.</w:t>
      </w:r>
    </w:p>
    <w:p>
      <w:pPr>
        <w:ind w:left="720" w:hanging="720"/>
      </w:pPr>
      <w:r>
        <w:rPr>
          <w:rFonts w:ascii="Times New Roman" w:hAnsi="Times New Roman"/>
          <w:sz w:val="22"/>
        </w:rPr>
        <w:t>Hirsch, F. (1977). Social Limits to Growth. Harvard University Press.</w:t>
      </w:r>
    </w:p>
    <w:p>
      <w:pPr>
        <w:ind w:left="720" w:hanging="720"/>
      </w:pPr>
      <w:r>
        <w:rPr>
          <w:rFonts w:ascii="Times New Roman" w:hAnsi="Times New Roman"/>
          <w:sz w:val="22"/>
        </w:rPr>
        <w:t>Kleinrock, L. (1975). Queueing Systems, Volume 1: Theory. Wiley-Interscience.</w:t>
      </w:r>
    </w:p>
    <w:p>
      <w:pPr>
        <w:ind w:left="720" w:hanging="720"/>
      </w:pPr>
      <w:r>
        <w:rPr>
          <w:rFonts w:ascii="Times New Roman" w:hAnsi="Times New Roman"/>
          <w:sz w:val="22"/>
        </w:rPr>
        <w:t>Massey, W. A. (1985). Asymptotic analysis of the time dependent M/M/1 queue. Mathematics of Operations Research, 10(2), 305–327.</w:t>
      </w:r>
    </w:p>
    <w:p>
      <w:pPr>
        <w:ind w:left="720" w:hanging="720"/>
      </w:pPr>
      <w:r>
        <w:rPr>
          <w:rFonts w:ascii="Times New Roman" w:hAnsi="Times New Roman"/>
          <w:sz w:val="22"/>
        </w:rPr>
        <w:t>Mayoral-Vilches, V., et al. (2026). Certifying ghosts: How cybersecurity AI agents break the EU Cyber Resilience Act. arXiv:2607.07109.</w:t>
      </w:r>
    </w:p>
    <w:p>
      <w:pPr>
        <w:ind w:left="720" w:hanging="720"/>
      </w:pPr>
      <w:r>
        <w:rPr>
          <w:rFonts w:ascii="Times New Roman" w:hAnsi="Times New Roman"/>
          <w:sz w:val="22"/>
        </w:rPr>
        <w:t>METR. (2025–2026). Measuring AI Ability to Complete Long Tasks: Evaluation Data and Analysis [Data set]. github.com/METR/eval-analysis-public.</w:t>
      </w:r>
    </w:p>
    <w:p>
      <w:pPr>
        <w:ind w:left="720" w:hanging="720"/>
      </w:pPr>
      <w:r>
        <w:rPr>
          <w:rFonts w:ascii="Times New Roman" w:hAnsi="Times New Roman"/>
          <w:sz w:val="22"/>
        </w:rPr>
        <w:t>Rogers, E. M. (1962). Diffusion of Innovations. Free Press.</w:t>
      </w:r>
    </w:p>
    <w:p>
      <w:pPr>
        <w:ind w:left="720" w:hanging="720"/>
      </w:pPr>
      <w:r>
        <w:rPr>
          <w:rFonts w:ascii="Times New Roman" w:hAnsi="Times New Roman"/>
          <w:sz w:val="22"/>
        </w:rPr>
        <w:t>Van Valen, L. (1973). A new evolutionary law. Evolutionary Theory, 1, 1–30.</w:t>
      </w:r>
    </w:p>
    <w:p>
      <w:r>
        <w:br w:type="page"/>
      </w:r>
    </w:p>
    <w:p>
      <w:pPr>
        <w:pStyle w:val="Heading1"/>
      </w:pPr>
      <w:r>
        <w:rPr>
          <w:rFonts w:ascii="Times New Roman" w:hAnsi="Times New Roman"/>
          <w:color w:val="000000"/>
        </w:rPr>
        <w:t>Appendix A: Audit and Reproducibility Statement</w:t>
      </w:r>
    </w:p>
    <w:p>
      <w:pPr>
        <w:ind w:firstLine="720"/>
      </w:pPr>
      <w:r>
        <w:rPr>
          <w:rFonts w:ascii="Times New Roman" w:hAnsi="Times New Roman"/>
          <w:b w:val="0"/>
          <w:i w:val="0"/>
          <w:sz w:val="24"/>
        </w:rPr>
        <w:t>The integrated audit corpus reports zero synthetic imputation, strict SHA-256 provenance enforcement, six automated tests passing (pytest 6/6), and evidence labels for observed, derived, scenario, reported attribution, unresolved and excluded quantities. The supplied JSON corpus is treated as the authoritative machine-readable record. All raw data files, processing scripts (00_download_all.py through 09_make_figures.py), and the complete test suite are available in the replication repository.</w:t>
      </w:r>
    </w:p>
    <w:p>
      <w:pPr>
        <w:pStyle w:val="Heading2"/>
      </w:pPr>
      <w:r>
        <w:rPr>
          <w:rFonts w:ascii="Times New Roman" w:hAnsi="Times New Roman"/>
          <w:color w:val="000000"/>
        </w:rPr>
        <w:t>Source URLs and Checksums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Data Source</w:t>
            </w:r>
          </w:p>
        </w:tc>
        <w:tc>
          <w:tcPr>
            <w:tcW w:type="dxa" w:w="3120"/>
          </w:tcPr>
          <w:p>
            <w:r>
              <w:rPr>
                <w:rFonts w:ascii="Times New Roman" w:hAnsi="Times New Roman"/>
                <w:b/>
                <w:sz w:val="20"/>
              </w:rPr>
              <w:t>URL</w:t>
            </w:r>
          </w:p>
        </w:tc>
        <w:tc>
          <w:tcPr>
            <w:tcW w:type="dxa" w:w="3120"/>
          </w:tcPr>
          <w:p>
            <w:r>
              <w:rPr>
                <w:rFonts w:ascii="Times New Roman" w:hAnsi="Times New Roman"/>
                <w:b/>
                <w:sz w:val="20"/>
              </w:rPr>
              <w:t>SHA-256 (prefix)</w:t>
            </w:r>
          </w:p>
        </w:tc>
      </w:tr>
      <w:tr>
        <w:tc>
          <w:tcPr>
            <w:tcW w:type="dxa" w:w="3120"/>
          </w:tcPr>
          <w:p>
            <w:r>
              <w:rPr>
                <w:rFonts w:ascii="Times New Roman" w:hAnsi="Times New Roman"/>
                <w:sz w:val="20"/>
              </w:rPr>
              <w:t>FRED Permits (PERMIT)</w:t>
            </w:r>
          </w:p>
        </w:tc>
        <w:tc>
          <w:tcPr>
            <w:tcW w:type="dxa" w:w="3120"/>
          </w:tcPr>
          <w:p>
            <w:r>
              <w:rPr>
                <w:rFonts w:ascii="Times New Roman" w:hAnsi="Times New Roman"/>
                <w:sz w:val="20"/>
              </w:rPr>
              <w:t>https://fred.stlouisfed.org/graph/fredgraph.csv?id=PERMIT</w:t>
            </w:r>
          </w:p>
        </w:tc>
        <w:tc>
          <w:tcPr>
            <w:tcW w:type="dxa" w:w="3120"/>
          </w:tcPr>
          <w:p>
            <w:r>
              <w:rPr>
                <w:rFonts w:ascii="Times New Roman" w:hAnsi="Times New Roman"/>
                <w:sz w:val="20"/>
              </w:rPr>
              <w:t>e9020eb8...</w:t>
            </w:r>
          </w:p>
        </w:tc>
      </w:tr>
      <w:tr>
        <w:tc>
          <w:tcPr>
            <w:tcW w:type="dxa" w:w="3120"/>
          </w:tcPr>
          <w:p>
            <w:r>
              <w:rPr>
                <w:rFonts w:ascii="Times New Roman" w:hAnsi="Times New Roman"/>
                <w:sz w:val="20"/>
              </w:rPr>
              <w:t>FRED Starts (HOUST)</w:t>
            </w:r>
          </w:p>
        </w:tc>
        <w:tc>
          <w:tcPr>
            <w:tcW w:type="dxa" w:w="3120"/>
          </w:tcPr>
          <w:p>
            <w:r>
              <w:rPr>
                <w:rFonts w:ascii="Times New Roman" w:hAnsi="Times New Roman"/>
                <w:sz w:val="20"/>
              </w:rPr>
              <w:t>https://fred.stlouisfed.org/graph/fredgraph.csv?id=HOUST</w:t>
            </w:r>
          </w:p>
        </w:tc>
        <w:tc>
          <w:tcPr>
            <w:tcW w:type="dxa" w:w="3120"/>
          </w:tcPr>
          <w:p>
            <w:r>
              <w:rPr>
                <w:rFonts w:ascii="Times New Roman" w:hAnsi="Times New Roman"/>
                <w:sz w:val="20"/>
              </w:rPr>
              <w:t>d531fdc5...</w:t>
            </w:r>
          </w:p>
        </w:tc>
      </w:tr>
      <w:tr>
        <w:tc>
          <w:tcPr>
            <w:tcW w:type="dxa" w:w="3120"/>
          </w:tcPr>
          <w:p>
            <w:r>
              <w:rPr>
                <w:rFonts w:ascii="Times New Roman" w:hAnsi="Times New Roman"/>
                <w:sz w:val="20"/>
              </w:rPr>
              <w:t>FRED Completions (COMPUTSA)</w:t>
            </w:r>
          </w:p>
        </w:tc>
        <w:tc>
          <w:tcPr>
            <w:tcW w:type="dxa" w:w="3120"/>
          </w:tcPr>
          <w:p>
            <w:r>
              <w:rPr>
                <w:rFonts w:ascii="Times New Roman" w:hAnsi="Times New Roman"/>
                <w:sz w:val="20"/>
              </w:rPr>
              <w:t>https://fred.stlouisfed.org/graph/fredgraph.csv?id=COMPUTSA</w:t>
            </w:r>
          </w:p>
        </w:tc>
        <w:tc>
          <w:tcPr>
            <w:tcW w:type="dxa" w:w="3120"/>
          </w:tcPr>
          <w:p>
            <w:r>
              <w:rPr>
                <w:rFonts w:ascii="Times New Roman" w:hAnsi="Times New Roman"/>
                <w:sz w:val="20"/>
              </w:rPr>
              <w:t>ab74fbc5...</w:t>
            </w:r>
          </w:p>
        </w:tc>
      </w:tr>
      <w:tr>
        <w:tc>
          <w:tcPr>
            <w:tcW w:type="dxa" w:w="3120"/>
          </w:tcPr>
          <w:p>
            <w:r>
              <w:rPr>
                <w:rFonts w:ascii="Times New Roman" w:hAnsi="Times New Roman"/>
                <w:sz w:val="20"/>
              </w:rPr>
              <w:t>METR Eval Repository</w:t>
            </w:r>
          </w:p>
        </w:tc>
        <w:tc>
          <w:tcPr>
            <w:tcW w:type="dxa" w:w="3120"/>
          </w:tcPr>
          <w:p>
            <w:r>
              <w:rPr>
                <w:rFonts w:ascii="Times New Roman" w:hAnsi="Times New Roman"/>
                <w:sz w:val="20"/>
              </w:rPr>
              <w:t>https://github.com/METR/eval-analysis-public</w:t>
            </w:r>
          </w:p>
        </w:tc>
        <w:tc>
          <w:tcPr>
            <w:tcW w:type="dxa" w:w="3120"/>
          </w:tcPr>
          <w:p>
            <w:r>
              <w:rPr>
                <w:rFonts w:ascii="Times New Roman" w:hAnsi="Times New Roman"/>
                <w:sz w:val="20"/>
              </w:rPr>
              <w:t>7dd6a435...</w:t>
            </w:r>
          </w:p>
        </w:tc>
      </w:tr>
      <w:tr>
        <w:tc>
          <w:tcPr>
            <w:tcW w:type="dxa" w:w="3120"/>
          </w:tcPr>
          <w:p>
            <w:r>
              <w:rPr>
                <w:rFonts w:ascii="Times New Roman" w:hAnsi="Times New Roman"/>
                <w:sz w:val="20"/>
              </w:rPr>
              <w:t>Anthropic Distillation Disclosure</w:t>
            </w:r>
          </w:p>
        </w:tc>
        <w:tc>
          <w:tcPr>
            <w:tcW w:type="dxa" w:w="3120"/>
          </w:tcPr>
          <w:p>
            <w:r>
              <w:rPr>
                <w:rFonts w:ascii="Times New Roman" w:hAnsi="Times New Roman"/>
                <w:sz w:val="20"/>
              </w:rPr>
              <w:t>https://www.anthropic.com/news/detecting-and-preventing-distillation-attacks</w:t>
            </w:r>
          </w:p>
        </w:tc>
        <w:tc>
          <w:tcPr>
            <w:tcW w:type="dxa" w:w="3120"/>
          </w:tcPr>
          <w:p>
            <w:r>
              <w:rPr>
                <w:rFonts w:ascii="Times New Roman" w:hAnsi="Times New Roman"/>
                <w:sz w:val="20"/>
              </w:rPr>
              <w:t>f706f87e...</w:t>
            </w:r>
          </w:p>
        </w:tc>
      </w:tr>
      <w:tr>
        <w:tc>
          <w:tcPr>
            <w:tcW w:type="dxa" w:w="3120"/>
          </w:tcPr>
          <w:p>
            <w:r>
              <w:rPr>
                <w:rFonts w:ascii="Times New Roman" w:hAnsi="Times New Roman"/>
                <w:sz w:val="20"/>
              </w:rPr>
              <w:t>CISA KEV Catalog</w:t>
            </w:r>
          </w:p>
        </w:tc>
        <w:tc>
          <w:tcPr>
            <w:tcW w:type="dxa" w:w="3120"/>
          </w:tcPr>
          <w:p>
            <w:r>
              <w:rPr>
                <w:rFonts w:ascii="Times New Roman" w:hAnsi="Times New Roman"/>
                <w:sz w:val="20"/>
              </w:rPr>
              <w:t>https://www.cisa.gov/sites/default/files/feeds/known_exploited_vulnerabilities.json</w:t>
            </w:r>
          </w:p>
        </w:tc>
        <w:tc>
          <w:tcPr>
            <w:tcW w:type="dxa" w:w="3120"/>
          </w:tcPr>
          <w:p>
            <w:r>
              <w:rPr>
                <w:rFonts w:ascii="Times New Roman" w:hAnsi="Times New Roman"/>
                <w:sz w:val="20"/>
              </w:rPr>
              <w:t>7b770a6f...</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