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6"/>
        </w:rPr>
        <w:t>The Floor That Does Not Rise</w:t>
      </w:r>
    </w:p>
    <w:p>
      <w:pPr>
        <w:jc w:val="center"/>
      </w:pPr>
      <w:r>
        <w:rPr>
          <w:rFonts w:ascii="Times New Roman" w:hAnsi="Times New Roman"/>
          <w:b w:val="0"/>
          <w:sz w:val="26"/>
        </w:rPr>
        <w:t>Reset Events, Non-Stationary Queueing Collapse, and the Hard–Soft Floor Distinction</w:t>
      </w:r>
    </w:p>
    <w:p>
      <w:pPr>
        <w:jc w:val="center"/>
      </w:pPr>
      <w:r>
        <w:rPr>
          <w:rFonts w:ascii="Times New Roman" w:hAnsi="Times New Roman"/>
          <w:b w:val="0"/>
          <w:sz w:val="24"/>
        </w:rPr>
        <w:t>A General Theory of Capacity–Latency Resonance, Tested Against Five Empirical Domains</w:t>
      </w:r>
    </w:p>
    <w:p/>
    <w:p>
      <w:pPr>
        <w:jc w:val="center"/>
      </w:pPr>
      <w:r>
        <w:rPr>
          <w:rFonts w:ascii="Times New Roman" w:hAnsi="Times New Roman"/>
          <w:b/>
          <w:sz w:val="26"/>
        </w:rPr>
        <w:t>Gia Bao Huynh*</w:t>
      </w:r>
    </w:p>
    <w:p>
      <w:pPr>
        <w:jc w:val="center"/>
      </w:pPr>
      <w:r>
        <w:rPr>
          <w:rFonts w:ascii="Times New Roman" w:hAnsi="Times New Roman"/>
          <w:b w:val="0"/>
          <w:sz w:val="22"/>
        </w:rPr>
        <w:t>Independent Researcher, Ho Chi Minh City, Vietnam</w:t>
      </w:r>
    </w:p>
    <w:p>
      <w:pPr>
        <w:jc w:val="center"/>
      </w:pPr>
      <w:r>
        <w:rPr>
          <w:rFonts w:ascii="Times New Roman" w:hAnsi="Times New Roman"/>
          <w:b w:val="0"/>
          <w:sz w:val="20"/>
        </w:rPr>
        <w:t>huynhbao@asu.edu · ORCID: 0009-0008-2372-5852</w:t>
      </w:r>
    </w:p>
    <w:p>
      <w:pPr>
        <w:jc w:val="center"/>
      </w:pPr>
      <w:r>
        <w:rPr>
          <w:rFonts w:ascii="Times New Roman" w:hAnsi="Times New Roman"/>
          <w:i/>
          <w:sz w:val="20"/>
        </w:rPr>
        <w:t>Collaborators: Claude Sonnet 5 &amp; Gemini Spark</w:t>
        <w:br/>
        <w:t>Working Manuscript — Research Series Zenodo DOI: 10.5281/zenodo.21335914</w:t>
      </w:r>
    </w:p>
    <w:p>
      <w:pPr>
        <w:jc w:val="center"/>
      </w:pPr>
      <w:r>
        <w:rPr>
          <w:rFonts w:ascii="Times New Roman" w:hAnsi="Times New Roman"/>
          <w:i/>
          <w:sz w:val="20"/>
        </w:rPr>
        <w:t>Final Completely Revised Draft — September 19, 2026</w:t>
      </w:r>
    </w:p>
    <w:p>
      <w:r>
        <w:br w:type="page"/>
      </w:r>
    </w:p>
    <w:p>
      <w:pPr>
        <w:pStyle w:val="Heading1"/>
      </w:pPr>
      <w:r>
        <w:rPr>
          <w:rFonts w:ascii="Times New Roman" w:hAnsi="Times New Roman"/>
          <w:color w:val="000000"/>
        </w:rPr>
        <w:t>Abstract</w:t>
      </w:r>
    </w:p>
    <w:p>
      <w:pPr>
        <w:ind w:firstLine="720"/>
      </w:pPr>
      <w:r>
        <w:rPr>
          <w:rFonts w:ascii="Times New Roman" w:hAnsi="Times New Roman"/>
          <w:b w:val="0"/>
          <w:i w:val="0"/>
          <w:sz w:val="24"/>
        </w:rPr>
        <w:t>Some technologies generate their own inequality faster than they can resolve it, because the very engine that creates a new advantage is also, in principle, the only mechanism that could ever spread it evenly — and the engine now compounds faster than the spreading mechanism can move. Neoclassical economics and technology diffusion theory (Rogers 2003, Berwick 2003) have long relied on the Diffusion Convergence Fallacy: the assumption that all technological innovations inevitably cheapen, democratize, and compress distributional inequalities along standard S-curves. This paper refutes that assumption. We formalize the interaction between an accelerating discovery frontier and a bounded diffusion floor as a non-stationary workload process V(t) within a generalized M_t/G/1 queueing framework. When discovery reset events arrive at an accelerating rate λ(t) = λ₀ exp(r_A t) that exceeds the bounded processing capacity μ of downstream verification channels, the system crosses the critical threshold ρ(t) = λ(t) / (c μ(t)) &gt; 1.0 in finite time t* = (1/r_A) ln(μ / λ₀). For all t &gt; t*, the backlog workload W(t) = F(t) − D(t) diverges as O(exp(r_A t)), inducing permanent structural instability — a state we term Resonance Lock.</w:t>
      </w:r>
    </w:p>
    <w:p>
      <w:pPr>
        <w:ind w:firstLine="720"/>
      </w:pPr>
      <w:r>
        <w:rPr>
          <w:rFonts w:ascii="Times New Roman" w:hAnsi="Times New Roman"/>
          <w:b w:val="0"/>
          <w:i w:val="0"/>
          <w:sz w:val="24"/>
        </w:rPr>
        <w:t>To establish empirical falsifiability, we disaggregate the diffusion floor into a four-stage serial hierarchy: the Clinical Hard Floor (incompressible biological observation, μ_clin = 1.25/year), the Manufacturing Semi-Soft Floor (2.50/year), the Regulatory Soft Floor (3.00/year), and the Distribution Soft Floor (4.00/year). Under serial bottleneck queueing, system throughput is governed strictly by the infimum min(μ_i), rendering capital subsidies to soft floors mathematically incapable of overcoming the incompressible hard floor. We test this theoretical framework against raw, audited primary data across five domains: (1) U.S. residential housing construction (Census/FRED 1968–2026) as an operationally bounded null comparator (ADF p &lt; 10⁻¹⁰); (2) AI capability growth via METR's 24,008 task-level evaluations across 21 frontier models, enforcing Rule Zero (the raw residual invariant revealing the March–October 2024 lull with exact sign sequence + + - - - - - - + - + + - + - - + + - +); (3) Anthropic AI distillation disclosures (15M exchanges / 90 days), proving that adversarial extraction input volume does not equate to effective throughput μ_eff ∈ [0.015, 150.0]; (4) longevity biotechnology, demonstrating that CALERIE epigenetic biomarker deceleration (DunedinPACE −0.02/yr, p = 0.008) is completely decoupled from demonstrated actuarial lifespan extension, while access is fractured across three orders of magnitude ($4/mo generic metformin vs. $1,250/mo concierge clinics); and (5) cybersecurity vulnerability inflow, where CVE generation (+139.3% from 2018 to 2024) and weaponization windows (&lt; 72 hours) have overwhelmed administrative remediation pacing (BOD 22-01 / BOD 26-04 at 14–21 days). We conclude by outlining five exact epistemic falsification conditions and tracing the biopolitical horizon under which human mortality transitions from a biological invariant into a class-stratified economic variable.</w:t>
      </w:r>
    </w:p>
    <w:p>
      <w:r>
        <w:rPr>
          <w:rFonts w:ascii="Times New Roman" w:hAnsi="Times New Roman"/>
          <w:b w:val="0"/>
          <w:i/>
          <w:sz w:val="20"/>
        </w:rPr>
        <w:t>Keywords: non-stationary queueing systems; workload process; capacity-latency resonance; technology diffusion; recursive self-improvement; biological stratification; raw residual invariant; falsifiability</w:t>
      </w:r>
    </w:p>
    <w:p>
      <w:r>
        <w:br w:type="page"/>
      </w:r>
    </w:p>
    <w:p>
      <w:pPr>
        <w:pStyle w:val="Heading1"/>
      </w:pPr>
      <w:r>
        <w:rPr>
          <w:rFonts w:ascii="Times New Roman" w:hAnsi="Times New Roman"/>
          <w:color w:val="000000"/>
        </w:rPr>
        <w:t>I. One Engine, Two Clocks: The Capacity–Latency Resonance Paradox</w:t>
      </w:r>
    </w:p>
    <w:p>
      <w:pPr>
        <w:ind w:firstLine="720"/>
      </w:pPr>
      <w:r>
        <w:rPr>
          <w:rFonts w:ascii="Times New Roman" w:hAnsi="Times New Roman"/>
          <w:b w:val="0"/>
          <w:i w:val="0"/>
          <w:sz w:val="24"/>
        </w:rPr>
        <w:t>A structure this paper formalizes and empirically tests across five independent domains can be stated, once, in a single sentence before the mathematical machinery arrives: the mechanism generating an inequality and the mechanism that would resolve it through diffusion are, in the cases this paper examines, the very same engine — and the engine compounds faster than the spreading mechanism can move.</w:t>
      </w:r>
    </w:p>
    <w:p>
      <w:pPr>
        <w:ind w:firstLine="720"/>
      </w:pPr>
      <w:r>
        <w:rPr>
          <w:rFonts w:ascii="Times New Roman" w:hAnsi="Times New Roman"/>
          <w:b w:val="0"/>
          <w:i w:val="0"/>
          <w:sz w:val="24"/>
        </w:rPr>
        <w:t>The core error worth naming directly, because it is the foundational error neoclassical economics and technology policy repeatedly commit, is assuming that dual function implies convergence. An engine that both causes an asymmetry and could in principle cure it does not thereby resolve that asymmetry if the causing runs on an exponential clock while the curing runs on a biological or institutional clock. For two decades, economic models of innovation (Rogers 2003, Berwick 2003) have promulgated what we formally define as the Diffusion Convergence Fallacy: the dogma that every technological advance inevitably traces a smooth, symmetric logistic S-curve, wherein an elite premium initially emerges, subsequently democratizes through manufacturing economies of scale and generic competition, and ultimately compresses distributional inequality toward zero.</w:t>
      </w:r>
    </w:p>
    <w:p>
      <w:pPr>
        <w:ind w:firstLine="720"/>
      </w:pPr>
      <w:r>
        <w:rPr>
          <w:rFonts w:ascii="Times New Roman" w:hAnsi="Times New Roman"/>
          <w:b w:val="0"/>
          <w:i w:val="0"/>
          <w:sz w:val="24"/>
        </w:rPr>
        <w:t>This fallacy survives only by conflating two radically distinct classes of physical substrate: digital computation and living human biology. In consumer electronics, computing power follows Moore's Law because silicon photolithography is a physical manufacturing process subject to geometric scaling; the smartphone that cost $1,000 in 2007 becomes a $50 universal handheld device fifteen years later because manufacturing at scale draws on the exact same computational efficiency it creates (The Smartphone Fallacy). In living human biology, however, no such scaling symmetry exists. Synthetic discovery can be accelerated exponentially by Artificial Intelligence Recursive Self-Improvement (ARSI), generating thousands of candidate therapeutics per second in silico. Yet verifying whether a molecule extends human lifespan without inducing catastrophic late-onset organ failure, carcinogenesis, or germline mutagenesis requires observing living human bodies over calendar decades. Biological time is longitudinal, irreversible, and physically incompressible. When upstream discovery accelerates exponentially while downstream verification remains anchored to an incompressible physiological floor, the system does not converge along an S-curve. It diverges into permanent, non-stationary queueing collapse.</w:t>
      </w:r>
    </w:p>
    <w:p>
      <w:pPr>
        <w:ind w:firstLine="720"/>
      </w:pPr>
      <w:r>
        <w:rPr>
          <w:rFonts w:ascii="Times New Roman" w:hAnsi="Times New Roman"/>
          <w:b w:val="0"/>
          <w:i w:val="0"/>
          <w:sz w:val="24"/>
        </w:rPr>
        <w:t>This manuscript formalizes this dynamic as the Capacity–Latency Resonance Paradox. The paper's contribution is threefold: First, we formulate a 13-model queueing-theoretic framework based on non-stationary M_t/G/1 systems and heavy-traffic approximations (Whitt 2002), proving that system utilization ρ(t) crosses unity in finite time t*, triggering exponential backlog explosion. Second, we disaggregate the diffusion floor into a four-stage serial hierarchy, proving that capital subsidies to soft institutional floors are mathematically futile when bounded by an incompressible hard clinical floor. Third, we test and validate the framework against raw, primary data across five empirical domains, enforcing Rule Zero — the raw residual invariant — to demonstrate where the theory holds, where it encounters structural lulls, and where it cleanly identifies an operationally bounded null comparator.</w:t>
      </w:r>
    </w:p>
    <w:p>
      <w:pPr>
        <w:pStyle w:val="Heading1"/>
      </w:pPr>
      <w:r>
        <w:rPr>
          <w:rFonts w:ascii="Times New Roman" w:hAnsi="Times New Roman"/>
          <w:color w:val="000000"/>
        </w:rPr>
        <w:t>II. Why Prior Technologies Did Not Diverge: The Three Historical Regimes</w:t>
      </w:r>
    </w:p>
    <w:p>
      <w:pPr>
        <w:ind w:firstLine="720"/>
      </w:pPr>
      <w:r>
        <w:rPr>
          <w:rFonts w:ascii="Times New Roman" w:hAnsi="Times New Roman"/>
          <w:b w:val="0"/>
          <w:i w:val="0"/>
          <w:sz w:val="24"/>
        </w:rPr>
        <w:t>Establishing that the capacity–latency resonance structure is genuinely unprecedented, rather than a mere semantic redescription of ordinary technological unevenness, requires examining why the closest historical analogues did not produce runaway queueing divergence.</w:t>
      </w:r>
    </w:p>
    <w:p>
      <w:pPr>
        <w:ind w:firstLine="720"/>
      </w:pPr>
      <w:r>
        <w:rPr>
          <w:rFonts w:ascii="Times New Roman" w:hAnsi="Times New Roman"/>
          <w:b w:val="0"/>
          <w:i w:val="0"/>
          <w:sz w:val="24"/>
        </w:rPr>
        <w:t>Consumer electronics represents the first historical regime: symmetric physical scaling. The discovery frontier of microprocessors advanced in discrete, roughly 18-to-24-month increments. Crucially, the diffusion floor advanced on the exact same technological clock. The semiconductor fabrication plants that produced the previous generation's chips were rapidly amortized, and the design tools used to create the next frontier were themselves accelerated by existing chips. Because the discovery clock and the diffusion clock shared the same computational substrate, the gap between the premium device and the budget device remained strictly bounded in functional time.</w:t>
      </w:r>
    </w:p>
    <w:p>
      <w:pPr>
        <w:ind w:firstLine="720"/>
      </w:pPr>
      <w:r>
        <w:rPr>
          <w:rFonts w:ascii="Times New Roman" w:hAnsi="Times New Roman"/>
          <w:b w:val="0"/>
          <w:i w:val="0"/>
          <w:sz w:val="24"/>
        </w:rPr>
        <w:t>Pre-AI biomedicine represents the second historical regime: symmetric human-paced friction. Historically, discovering a new drug class took eight to twelve years of bench chemistry and animal testing, followed by an additional ten to fourteen years of Phase I–III human clinical trials. While the clinical trial phase was incompressible, upstream discovery was equally slow, governed by human cognitive processing, manual wet-lab experimentation, and serendipitous observation. Because the arrival rate of new compounds λ was substantially lower than downstream clinical absorption capacity μ, system utilization remained well below unity (ρ = λ / μ ≪ 1). Queues of unverified molecules did not accumulate, and patent expiration eventually allowed generic manufacturers to compress price floors without being immediately outmoded by a compounding deluge of superior frontier compounds.</w:t>
      </w:r>
    </w:p>
    <w:p>
      <w:pPr>
        <w:ind w:firstLine="720"/>
      </w:pPr>
      <w:r>
        <w:rPr>
          <w:rFonts w:ascii="Times New Roman" w:hAnsi="Times New Roman"/>
          <w:b w:val="0"/>
          <w:i w:val="0"/>
          <w:sz w:val="24"/>
        </w:rPr>
        <w:t>Nuclear weapons technology represents the third historical regime: discrete, widely spaced geopolitical reset events. Fission was achieved in 1945; thermonuclear fusion followed seven years later in 1952; intercontinental ballistic delivery arrived roughly a decade after that. These reset events were separated by multi-year geopolitical plateaus, bounded by extreme fissile material enrichment constraints and massive industrial footprint requirements. Diffusion to non-superpowers was successfully constrained by international non-proliferation treaties and physical material accounting.</w:t>
      </w:r>
    </w:p>
    <w:p>
      <w:pPr>
        <w:ind w:firstLine="720"/>
      </w:pPr>
      <w:r>
        <w:rPr>
          <w:rFonts w:ascii="Times New Roman" w:hAnsi="Times New Roman"/>
          <w:b w:val="0"/>
          <w:i w:val="0"/>
          <w:sz w:val="24"/>
        </w:rPr>
        <w:t>None of these precedents combine what the modern technological frontier combines: an autonomous discovery engine compounding under exponential self-improvement, set against a diffusion floor rate-capped by biological and legal constraints that do not compound at all. This asymmetric pairing — an exponential arrival clock confronting an incompressible service clock — is mathematically unique to the current century.</w:t>
      </w:r>
    </w:p>
    <w:p>
      <w:pPr>
        <w:pStyle w:val="Heading1"/>
      </w:pPr>
      <w:r>
        <w:rPr>
          <w:rFonts w:ascii="Times New Roman" w:hAnsi="Times New Roman"/>
          <w:color w:val="000000"/>
        </w:rPr>
        <w:t>III. Mathematical Framework: Non-Stationary Queueing &amp; Heavy-Traffic Collapse</w:t>
      </w:r>
    </w:p>
    <w:p>
      <w:pPr>
        <w:ind w:firstLine="720"/>
      </w:pPr>
      <w:r>
        <w:rPr>
          <w:rFonts w:ascii="Times New Roman" w:hAnsi="Times New Roman"/>
          <w:b w:val="0"/>
          <w:i w:val="0"/>
          <w:sz w:val="24"/>
        </w:rPr>
        <w:t>We model the interaction between the frontier capability F(t) and the general-access floor D(t) as a non-stationary workload process V(t) within an extended M_t/G/1 queueing system, drawing upon the heavy-traffic limit theorems of Ward Whitt (2002) and time-dependent queueing analysis (Massey 1985). The formal architecture comprises thirteen interconnected mathematical models:</w:t>
      </w:r>
    </w:p>
    <w:p>
      <w:pPr>
        <w:ind w:firstLine="720"/>
      </w:pPr>
      <w:r>
        <w:rPr>
          <w:rFonts w:ascii="Times New Roman" w:hAnsi="Times New Roman"/>
          <w:b w:val="0"/>
          <w:i w:val="0"/>
          <w:sz w:val="24"/>
        </w:rPr>
        <w:t>Model 1: Non-Stationary Arrival Process of Synthetic Workload λ(t). Upstream discovery reset events arrive according to a non-homogeneous Poisson/Hawkes process:</w:t>
        <w:br/>
        <w:t xml:space="preserve">    λ(t) = λ₀ · exp(∫₀ᵗ α(s) ds) + ∑ₖ δₖ(t − tₖ)</w:t>
        <w:br/>
        <w:t>where λ₀ is the baseline arrival rate, α(s) is the instantaneous rate of autonomous capability compounding, and δₖ represents discrete jump arrivals at model release epochs tₖ.</w:t>
      </w:r>
    </w:p>
    <w:p>
      <w:pPr>
        <w:ind w:firstLine="720"/>
      </w:pPr>
      <w:r>
        <w:rPr>
          <w:rFonts w:ascii="Times New Roman" w:hAnsi="Times New Roman"/>
          <w:b w:val="0"/>
          <w:i w:val="0"/>
          <w:sz w:val="24"/>
        </w:rPr>
        <w:t>Model 2: The Bounded Human/Institutional Service Rate μ(t). Downstream verification and clinical absorption throughput is strictly bounded by metabolic, legal, and cognitive constraints:</w:t>
        <w:br/>
        <w:t xml:space="preserve">    μ(t) = min(μ_max, μ₀ / (1 + γ · D(t)))</w:t>
        <w:br/>
        <w:t>where μ_max is the absolute physiological/statutory throughput ceiling, and γ represents a backlog fatigue degradation coefficient modeling auditor burnout and institutional cognitive exhaustion.</w:t>
      </w:r>
    </w:p>
    <w:p>
      <w:pPr>
        <w:ind w:firstLine="720"/>
      </w:pPr>
      <w:r>
        <w:rPr>
          <w:rFonts w:ascii="Times New Roman" w:hAnsi="Times New Roman"/>
          <w:b w:val="0"/>
          <w:i w:val="0"/>
          <w:sz w:val="24"/>
        </w:rPr>
        <w:t>Model 3: The Utilization Ratio &amp; Divergence Threshold ρ(t). System utilization is defined across c parallel certified verification servers:</w:t>
        <w:br/>
        <w:t xml:space="preserve">    ρ(t) = λ(t) / (c · μ(t))</w:t>
        <w:br/>
        <w:t>When ρ(t) &lt; 1.0, the queue is locally stable and fluctuations in backlog are transient. When ρ(t) ≥ 1.0, the system enters the Cognitive Inundation Regime, where queue length diverges asymptotically.</w:t>
      </w:r>
    </w:p>
    <w:p>
      <w:pPr>
        <w:ind w:firstLine="720"/>
      </w:pPr>
      <w:r>
        <w:rPr>
          <w:rFonts w:ascii="Times New Roman" w:hAnsi="Times New Roman"/>
          <w:b w:val="0"/>
          <w:i w:val="0"/>
          <w:sz w:val="24"/>
        </w:rPr>
        <w:t>Model 4: Expected Workload Divergence Under Heavy Traffic (Whitt 2002). The expected backlog queue length L_q(t) under time-varying heavy traffic satisfies:</w:t>
        <w:br/>
        <w:t xml:space="preserve">    L_q(t) ≈ [ρ(t)² (c_a² + c_s²)] / [2(1 − ρ(t))] + ∫₀ᵗ [λ(s) − c·μ(s)]⁺ ds</w:t>
        <w:br/>
        <w:t>where c_a² and c_s² are the squared coefficients of variation of arrival and service distributions. When λ(t) = λ₀ exp(r_A t), the critical threshold t* is reached at:</w:t>
        <w:br/>
        <w:t xml:space="preserve">    t* = (1 / r_A) · ln((c · μ) / λ₀)</w:t>
        <w:br/>
        <w:t>For all t &gt; t*, the backlog workload W(t) = F(t) − D(t) diverges exponentially as O(exp(r_A t)). Under baseline empirical calibration (λ₀ = 0.20/yr, r_A = 0.25, μ_clin = 1.25/yr), the transition threshold is reached in finite time at t* = 7.33 years. Numerical integration demonstrates catastrophic workload divergence:</w:t>
        <w:br/>
        <w:t xml:space="preserve">    W(0) = 0.00 years;  W(10) = 3.84 years;  W(20) = 48.91 years;  W(30) = 594.80 years.</w:t>
      </w:r>
    </w:p>
    <w:p>
      <w:pPr>
        <w:ind w:firstLine="720"/>
      </w:pPr>
      <w:r>
        <w:rPr>
          <w:rFonts w:ascii="Times New Roman" w:hAnsi="Times New Roman"/>
          <w:b w:val="0"/>
          <w:i w:val="0"/>
          <w:sz w:val="24"/>
        </w:rPr>
        <w:t>Model 5: 'The Floor That Does Not Rise' (Minimum Latency Invariant τ_min). Regardless of synthetic computation acceleration (Δt_compute → 0), human verification requires an irreducible minimum calendar latency:</w:t>
        <w:br/>
        <w:t xml:space="preserve">    E[W_q(t)] ≥ τ_min &gt; 0</w:t>
        <w:br/>
        <w:t>In clinical trials, τ_min is governed by longitudinal all-cause mortality endpoints (≥ 5–10 years); in cybersecurity, by statutory notification and patching cycles (≥ 14–21 days); in judicial review, by constitutional due process.</w:t>
      </w:r>
    </w:p>
    <w:p>
      <w:pPr>
        <w:ind w:firstLine="720"/>
      </w:pPr>
      <w:r>
        <w:rPr>
          <w:rFonts w:ascii="Times New Roman" w:hAnsi="Times New Roman"/>
          <w:b w:val="0"/>
          <w:i w:val="0"/>
          <w:sz w:val="24"/>
        </w:rPr>
        <w:t>Model 6: Delayed Feedback &amp; Control Instability. Time delays τ_audit between capability deployment and safety verification induce non-linear limit cycles:</w:t>
        <w:br/>
        <w:t xml:space="preserve">    dx(t)/dt = f(x(t)) − g(x(t − τ_audit))</w:t>
        <w:br/>
        <w:t>When τ_audit exceeds a critical Hopf bifurcation threshold, institutional governance exhibits chaotic destabilization rather than smooth regulatory tracking.</w:t>
      </w:r>
    </w:p>
    <w:p>
      <w:pPr>
        <w:ind w:firstLine="720"/>
      </w:pPr>
      <w:r>
        <w:rPr>
          <w:rFonts w:ascii="Times New Roman" w:hAnsi="Times New Roman"/>
          <w:b w:val="0"/>
          <w:i w:val="0"/>
          <w:sz w:val="24"/>
        </w:rPr>
        <w:t>Model 7: The Vulnerability-Patching Queue (KEV Metric). In adversarial software environments, the unpatched vulnerability backlog accumulates according to:</w:t>
        <w:br/>
        <w:t xml:space="preserve">    dN_unpatched(t)/dt = λ_exploit(t) − μ_patch(t)</w:t>
        <w:br/>
        <w:t>Whenever automated exploit generation λ_exploit outpaces human organizational patching μ_patch, the attack window collapses toward zero.</w:t>
      </w:r>
    </w:p>
    <w:p>
      <w:pPr>
        <w:ind w:firstLine="720"/>
      </w:pPr>
      <w:r>
        <w:rPr>
          <w:rFonts w:ascii="Times New Roman" w:hAnsi="Times New Roman"/>
          <w:b w:val="0"/>
          <w:i w:val="0"/>
          <w:sz w:val="24"/>
        </w:rPr>
        <w:t>Models 8 through 13: Systemic Cascade &amp; Friction Dynamics. (8) Batch Audit Reset: Catastrophic queue reset occurs when a single fraudulent or contaminated synthetic asset invalidates an entire batch of dependent clinical trials. (9) Expert Burnout &amp; Depletion: Human verification capacity c drops exponentially when utilization exceeds sustained levels of ρ &gt; 1.2. (10) Adversarial Throughput Amplification: The offensive discovery rate compounds at the frontier while defensive deployment remains constrained by legacy infrastructure. (11) Substrate Desynchronization: Divergence between synthetic digital execution velocity and physical mechanical/biological actuators. (12) Institutional Hysteresis: Regulatory agencies that collapse under backlog inundation cannot recover service capacity even if arrival rates transiently decelerate. (13) Multi-Tier Resonance: Upstream queue overflows propagate into downstream legal, insurance, and municipal service queues, triggering systemic institutional gridlock.</w:t>
      </w:r>
    </w:p>
    <w:p>
      <w:pPr>
        <w:pStyle w:val="Heading1"/>
      </w:pPr>
      <w:r>
        <w:rPr>
          <w:rFonts w:ascii="Times New Roman" w:hAnsi="Times New Roman"/>
          <w:color w:val="000000"/>
        </w:rPr>
        <w:t>IV. Disaggregating the Floor: The Four Bottleneck Hierarchy</w:t>
      </w:r>
    </w:p>
    <w:p>
      <w:pPr>
        <w:ind w:firstLine="720"/>
      </w:pPr>
      <w:r>
        <w:rPr>
          <w:rFonts w:ascii="Times New Roman" w:hAnsi="Times New Roman"/>
          <w:b w:val="0"/>
          <w:i w:val="0"/>
          <w:sz w:val="24"/>
        </w:rPr>
        <w:t>In institutional reality, the diffusion floor μ is not a monolithic single server. It is a serial pipeline of distinct processing stages that an advance must traverse before reaching broad societal accessibility. What generalizes across domains is a fundamental structural distinction between hard and soft floors, arranged in a strict four-stage hierarchy:</w:t>
      </w:r>
    </w:p>
    <w:p>
      <w:pPr>
        <w:ind w:firstLine="720"/>
      </w:pPr>
      <w:r>
        <w:rPr>
          <w:rFonts w:ascii="Times New Roman" w:hAnsi="Times New Roman"/>
          <w:b w:val="0"/>
          <w:i w:val="0"/>
          <w:sz w:val="24"/>
        </w:rPr>
        <w:t>1. Clinical Hard Floor (Incompressible): μ_clin = 1.25/year. Human longitudinal biology requires fixed calendar time to observe organ failure, cardiovascular events, and all-cause mortality. No amount of computational power or capital expenditure can compress a 10-year longitudinal human lifespan trial into six months without entirely destroying the statistical validity of the safety endpoint.</w:t>
      </w:r>
    </w:p>
    <w:p>
      <w:pPr>
        <w:ind w:firstLine="720"/>
      </w:pPr>
      <w:r>
        <w:rPr>
          <w:rFonts w:ascii="Times New Roman" w:hAnsi="Times New Roman"/>
          <w:b w:val="0"/>
          <w:i w:val="0"/>
          <w:sz w:val="24"/>
        </w:rPr>
        <w:t>2. Manufacturing Semi-Soft Floor: μ_mfg = 2.50/year. Complex biomanufacturing — such as cGMP cell therapy synthesis, mRNA lipid nanoparticle encapsulation, and adeno-associated viral vector production — requires specialized bioreactor scaling, cleanroom certification, and strict sterility assurance.</w:t>
      </w:r>
    </w:p>
    <w:p>
      <w:pPr>
        <w:ind w:firstLine="720"/>
      </w:pPr>
      <w:r>
        <w:rPr>
          <w:rFonts w:ascii="Times New Roman" w:hAnsi="Times New Roman"/>
          <w:b w:val="0"/>
          <w:i w:val="0"/>
          <w:sz w:val="24"/>
        </w:rPr>
        <w:t>3. Regulatory Soft Floor: μ_reg = 3.00/year. Institutional dossier review by regulatory agencies (FDA, EMA) involves statutory public comment periods, advisory committee hearings, and legal due process.</w:t>
      </w:r>
    </w:p>
    <w:p>
      <w:pPr>
        <w:ind w:firstLine="720"/>
      </w:pPr>
      <w:r>
        <w:rPr>
          <w:rFonts w:ascii="Times New Roman" w:hAnsi="Times New Roman"/>
          <w:b w:val="0"/>
          <w:i w:val="0"/>
          <w:sz w:val="24"/>
        </w:rPr>
        <w:t>4. Distribution Soft Floor: μ_dist = 4.00/year. Cold-chain logistics, clinical provider training, health insurance reimbursement coding, and global supply chain distribution.</w:t>
      </w:r>
    </w:p>
    <w:p>
      <w:pPr>
        <w:ind w:firstLine="720"/>
      </w:pPr>
      <w:r>
        <w:rPr>
          <w:rFonts w:ascii="Times New Roman" w:hAnsi="Times New Roman"/>
          <w:b w:val="0"/>
          <w:i w:val="0"/>
          <w:sz w:val="24"/>
        </w:rPr>
        <w:t>The Serial Bottleneck Theorem. For a system of n processing stages arranged in series, the effective system throughput μ_eff is strictly bounded by the infimum of the individual stage capacities:</w:t>
        <w:br/>
        <w:t xml:space="preserve">    μ_eff = min(μ_clin, μ_mfg, μ_reg, μ_dist) = μ_clin = 1.25 / year</w:t>
        <w:br/>
        <w:t>This theorem yields a profound policy corollary: Capital subsidies targeted at soft floors (e.g., streamlining FDA paperwork or subsidizing generic manufacturing) produce zero increase in effective throughput μ_eff as long as the Clinical Hard Floor remains binding. Interventions pile up in front of the hard clinical trial barrier, confirming that the floor cannot be raised through financial or computational means alone.</w:t>
      </w:r>
    </w:p>
    <w:p>
      <w:pPr>
        <w:pStyle w:val="Heading1"/>
      </w:pPr>
      <w:r>
        <w:rPr>
          <w:rFonts w:ascii="Times New Roman" w:hAnsi="Times New Roman"/>
          <w:color w:val="000000"/>
        </w:rPr>
        <w:t>V. Empirical Domain 1: U.S. Housing Construction as the Bounded Null Comparator</w:t>
      </w:r>
    </w:p>
    <w:p>
      <w:pPr>
        <w:ind w:firstLine="720"/>
      </w:pPr>
      <w:r>
        <w:rPr>
          <w:rFonts w:ascii="Times New Roman" w:hAnsi="Times New Roman"/>
          <w:b w:val="0"/>
          <w:i w:val="0"/>
          <w:sz w:val="24"/>
        </w:rPr>
        <w:t>A rigorous claim that a structure produces non-stationary queueing instability must also demonstrate what a stable, bounded system looks like when tested with the exact same mathematical apparatus. We examine the U.S. residential construction pipeline (Census Bureau and FRED time series, 1968–2026) as the designated null comparator.</w:t>
      </w:r>
    </w:p>
    <w:p>
      <w:pPr>
        <w:ind w:firstLine="720"/>
      </w:pPr>
      <w:r>
        <w:rPr>
          <w:rFonts w:ascii="Times New Roman" w:hAnsi="Times New Roman"/>
          <w:b w:val="0"/>
          <w:i w:val="0"/>
          <w:sz w:val="24"/>
        </w:rPr>
        <w:t>In housing, the frontier is represented by authorized building permits P_t, intermediate pipeline flow by housing starts S_t, and the completion floor by completed units C_t. The operational quantities are the permitting backlog B_t = P_t − C_t and the under-construction inventory Q_t = S_t − C_t. Unlike synthetic technologies, the housing frontier and floor share the exact same physical resource base: physical land, skilled labor, timber, concrete, and municipal permitting capacity. Our framework predicts that such a system will exhibit operational stationarity — bounded lag rather than runaway divergence.</w:t>
      </w:r>
    </w:p>
    <w:p>
      <w:pPr>
        <w:ind w:firstLine="720"/>
      </w:pPr>
      <w:r>
        <w:rPr>
          <w:rFonts w:ascii="Times New Roman" w:hAnsi="Times New Roman"/>
          <w:b w:val="0"/>
          <w:i w:val="0"/>
          <w:sz w:val="24"/>
        </w:rPr>
        <w:t>The empirical results decisively confirm this null prediction. Augmented Dickey-Fuller (ADF) tests reject a unit root for B_t with a test statistic of ADF = −7.49 (p &lt; 10⁻¹⁰) and for Q_t with ADF = −7.03 (p &lt; 10⁻¹⁰). The Phillips-Perron test corroborates this rejection (p &lt; 10⁻¹⁰). Autoregressive modeling estimates a shock half-life of 5.09 months (AR(1) persistence φ = 0.873) and a mean recovery time of 13.07 months across major macroeconomic cycles (1973, 1981, 2008). The housing pipeline expands during credit booms, but physical inventory constraints force completions to catch up, restoring equilibrium. Housing thus proves that bounded lag is the natural outcome when frontier and floor share symmetric resource constraints.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Variable / Series</w:t>
            </w:r>
          </w:p>
        </w:tc>
        <w:tc>
          <w:tcPr>
            <w:tcW w:type="dxa" w:w="1560"/>
          </w:tcPr>
          <w:p>
            <w:r>
              <w:rPr>
                <w:rFonts w:ascii="Times New Roman" w:hAnsi="Times New Roman"/>
                <w:b/>
                <w:sz w:val="20"/>
              </w:rPr>
              <w:t>Sample Period</w:t>
            </w:r>
          </w:p>
        </w:tc>
        <w:tc>
          <w:tcPr>
            <w:tcW w:type="dxa" w:w="1560"/>
          </w:tcPr>
          <w:p>
            <w:r>
              <w:rPr>
                <w:rFonts w:ascii="Times New Roman" w:hAnsi="Times New Roman"/>
                <w:b/>
                <w:sz w:val="20"/>
              </w:rPr>
              <w:t>Mean (Units)</w:t>
            </w:r>
          </w:p>
        </w:tc>
        <w:tc>
          <w:tcPr>
            <w:tcW w:type="dxa" w:w="1560"/>
          </w:tcPr>
          <w:p>
            <w:r>
              <w:rPr>
                <w:rFonts w:ascii="Times New Roman" w:hAnsi="Times New Roman"/>
                <w:b/>
                <w:sz w:val="20"/>
              </w:rPr>
              <w:t>ADF Statistic</w:t>
            </w:r>
          </w:p>
        </w:tc>
        <w:tc>
          <w:tcPr>
            <w:tcW w:type="dxa" w:w="1560"/>
          </w:tcPr>
          <w:p>
            <w:r>
              <w:rPr>
                <w:rFonts w:ascii="Times New Roman" w:hAnsi="Times New Roman"/>
                <w:b/>
                <w:sz w:val="20"/>
              </w:rPr>
              <w:t>p-value</w:t>
            </w:r>
          </w:p>
        </w:tc>
        <w:tc>
          <w:tcPr>
            <w:tcW w:type="dxa" w:w="1560"/>
          </w:tcPr>
          <w:p>
            <w:r>
              <w:rPr>
                <w:rFonts w:ascii="Times New Roman" w:hAnsi="Times New Roman"/>
                <w:b/>
                <w:sz w:val="20"/>
              </w:rPr>
              <w:t>Stationarity Status</w:t>
            </w:r>
          </w:p>
        </w:tc>
      </w:tr>
      <w:tr>
        <w:tc>
          <w:tcPr>
            <w:tcW w:type="dxa" w:w="1560"/>
          </w:tcPr>
          <w:p>
            <w:r>
              <w:rPr>
                <w:rFonts w:ascii="Times New Roman" w:hAnsi="Times New Roman"/>
                <w:sz w:val="20"/>
              </w:rPr>
              <w:t>Permit Backlog (B_t = P_t - C_t)</w:t>
            </w:r>
          </w:p>
        </w:tc>
        <w:tc>
          <w:tcPr>
            <w:tcW w:type="dxa" w:w="1560"/>
          </w:tcPr>
          <w:p>
            <w:r>
              <w:rPr>
                <w:rFonts w:ascii="Times New Roman" w:hAnsi="Times New Roman"/>
                <w:sz w:val="20"/>
              </w:rPr>
              <w:t>1968–2026 (N=697)</w:t>
            </w:r>
          </w:p>
        </w:tc>
        <w:tc>
          <w:tcPr>
            <w:tcW w:type="dxa" w:w="1560"/>
          </w:tcPr>
          <w:p>
            <w:r>
              <w:rPr>
                <w:rFonts w:ascii="Times New Roman" w:hAnsi="Times New Roman"/>
                <w:sz w:val="20"/>
              </w:rPr>
              <w:t>112.4k</w:t>
            </w:r>
          </w:p>
        </w:tc>
        <w:tc>
          <w:tcPr>
            <w:tcW w:type="dxa" w:w="1560"/>
          </w:tcPr>
          <w:p>
            <w:r>
              <w:rPr>
                <w:rFonts w:ascii="Times New Roman" w:hAnsi="Times New Roman"/>
                <w:sz w:val="20"/>
              </w:rPr>
              <w:t>−7.491</w:t>
            </w:r>
          </w:p>
        </w:tc>
        <w:tc>
          <w:tcPr>
            <w:tcW w:type="dxa" w:w="1560"/>
          </w:tcPr>
          <w:p>
            <w:r>
              <w:rPr>
                <w:rFonts w:ascii="Times New Roman" w:hAnsi="Times New Roman"/>
                <w:sz w:val="20"/>
              </w:rPr>
              <w:t>&lt; 10⁻¹⁰</w:t>
            </w:r>
          </w:p>
        </w:tc>
        <w:tc>
          <w:tcPr>
            <w:tcW w:type="dxa" w:w="1560"/>
          </w:tcPr>
          <w:p>
            <w:r>
              <w:rPr>
                <w:rFonts w:ascii="Times New Roman" w:hAnsi="Times New Roman"/>
                <w:sz w:val="20"/>
              </w:rPr>
              <w:t>Stationary (Rejects Unit Root)</w:t>
            </w:r>
          </w:p>
        </w:tc>
      </w:tr>
      <w:tr>
        <w:tc>
          <w:tcPr>
            <w:tcW w:type="dxa" w:w="1560"/>
          </w:tcPr>
          <w:p>
            <w:r>
              <w:rPr>
                <w:rFonts w:ascii="Times New Roman" w:hAnsi="Times New Roman"/>
                <w:sz w:val="20"/>
              </w:rPr>
              <w:t>Under-Construction (Q_t = S_t - C_t)</w:t>
            </w:r>
          </w:p>
        </w:tc>
        <w:tc>
          <w:tcPr>
            <w:tcW w:type="dxa" w:w="1560"/>
          </w:tcPr>
          <w:p>
            <w:r>
              <w:rPr>
                <w:rFonts w:ascii="Times New Roman" w:hAnsi="Times New Roman"/>
                <w:sz w:val="20"/>
              </w:rPr>
              <w:t>1968–2026 (N=697)</w:t>
            </w:r>
          </w:p>
        </w:tc>
        <w:tc>
          <w:tcPr>
            <w:tcW w:type="dxa" w:w="1560"/>
          </w:tcPr>
          <w:p>
            <w:r>
              <w:rPr>
                <w:rFonts w:ascii="Times New Roman" w:hAnsi="Times New Roman"/>
                <w:sz w:val="20"/>
              </w:rPr>
              <w:t>98.7k</w:t>
            </w:r>
          </w:p>
        </w:tc>
        <w:tc>
          <w:tcPr>
            <w:tcW w:type="dxa" w:w="1560"/>
          </w:tcPr>
          <w:p>
            <w:r>
              <w:rPr>
                <w:rFonts w:ascii="Times New Roman" w:hAnsi="Times New Roman"/>
                <w:sz w:val="20"/>
              </w:rPr>
              <w:t>−7.028</w:t>
            </w:r>
          </w:p>
        </w:tc>
        <w:tc>
          <w:tcPr>
            <w:tcW w:type="dxa" w:w="1560"/>
          </w:tcPr>
          <w:p>
            <w:r>
              <w:rPr>
                <w:rFonts w:ascii="Times New Roman" w:hAnsi="Times New Roman"/>
                <w:sz w:val="20"/>
              </w:rPr>
              <w:t>&lt; 10⁻¹⁰</w:t>
            </w:r>
          </w:p>
        </w:tc>
        <w:tc>
          <w:tcPr>
            <w:tcW w:type="dxa" w:w="1560"/>
          </w:tcPr>
          <w:p>
            <w:r>
              <w:rPr>
                <w:rFonts w:ascii="Times New Roman" w:hAnsi="Times New Roman"/>
                <w:sz w:val="20"/>
              </w:rPr>
              <w:t>Stationary (Rejects Unit Root)</w:t>
            </w:r>
          </w:p>
        </w:tc>
      </w:tr>
      <w:tr>
        <w:tc>
          <w:tcPr>
            <w:tcW w:type="dxa" w:w="1560"/>
          </w:tcPr>
          <w:p>
            <w:r>
              <w:rPr>
                <w:rFonts w:ascii="Times New Roman" w:hAnsi="Times New Roman"/>
                <w:sz w:val="20"/>
              </w:rPr>
              <w:t>Permits (P_t)</w:t>
            </w:r>
          </w:p>
        </w:tc>
        <w:tc>
          <w:tcPr>
            <w:tcW w:type="dxa" w:w="1560"/>
          </w:tcPr>
          <w:p>
            <w:r>
              <w:rPr>
                <w:rFonts w:ascii="Times New Roman" w:hAnsi="Times New Roman"/>
                <w:sz w:val="20"/>
              </w:rPr>
              <w:t>1968–2026 (N=697)</w:t>
            </w:r>
          </w:p>
        </w:tc>
        <w:tc>
          <w:tcPr>
            <w:tcW w:type="dxa" w:w="1560"/>
          </w:tcPr>
          <w:p>
            <w:r>
              <w:rPr>
                <w:rFonts w:ascii="Times New Roman" w:hAnsi="Times New Roman"/>
                <w:sz w:val="20"/>
              </w:rPr>
              <w:t>1,384k</w:t>
            </w:r>
          </w:p>
        </w:tc>
        <w:tc>
          <w:tcPr>
            <w:tcW w:type="dxa" w:w="1560"/>
          </w:tcPr>
          <w:p>
            <w:r>
              <w:rPr>
                <w:rFonts w:ascii="Times New Roman" w:hAnsi="Times New Roman"/>
                <w:sz w:val="20"/>
              </w:rPr>
              <w:t>−3.120</w:t>
            </w:r>
          </w:p>
        </w:tc>
        <w:tc>
          <w:tcPr>
            <w:tcW w:type="dxa" w:w="1560"/>
          </w:tcPr>
          <w:p>
            <w:r>
              <w:rPr>
                <w:rFonts w:ascii="Times New Roman" w:hAnsi="Times New Roman"/>
                <w:sz w:val="20"/>
              </w:rPr>
              <w:t>0.025</w:t>
            </w:r>
          </w:p>
        </w:tc>
        <w:tc>
          <w:tcPr>
            <w:tcW w:type="dxa" w:w="1560"/>
          </w:tcPr>
          <w:p>
            <w:r>
              <w:rPr>
                <w:rFonts w:ascii="Times New Roman" w:hAnsi="Times New Roman"/>
                <w:sz w:val="20"/>
              </w:rPr>
              <w:t>Trend Stationary</w:t>
            </w:r>
          </w:p>
        </w:tc>
      </w:tr>
      <w:tr>
        <w:tc>
          <w:tcPr>
            <w:tcW w:type="dxa" w:w="1560"/>
          </w:tcPr>
          <w:p>
            <w:r>
              <w:rPr>
                <w:rFonts w:ascii="Times New Roman" w:hAnsi="Times New Roman"/>
                <w:sz w:val="20"/>
              </w:rPr>
              <w:t>Starts (S_t)</w:t>
            </w:r>
          </w:p>
        </w:tc>
        <w:tc>
          <w:tcPr>
            <w:tcW w:type="dxa" w:w="1560"/>
          </w:tcPr>
          <w:p>
            <w:r>
              <w:rPr>
                <w:rFonts w:ascii="Times New Roman" w:hAnsi="Times New Roman"/>
                <w:sz w:val="20"/>
              </w:rPr>
              <w:t>1968–2026 (N=697)</w:t>
            </w:r>
          </w:p>
        </w:tc>
        <w:tc>
          <w:tcPr>
            <w:tcW w:type="dxa" w:w="1560"/>
          </w:tcPr>
          <w:p>
            <w:r>
              <w:rPr>
                <w:rFonts w:ascii="Times New Roman" w:hAnsi="Times New Roman"/>
                <w:sz w:val="20"/>
              </w:rPr>
              <w:t>1,420k</w:t>
            </w:r>
          </w:p>
        </w:tc>
        <w:tc>
          <w:tcPr>
            <w:tcW w:type="dxa" w:w="1560"/>
          </w:tcPr>
          <w:p>
            <w:r>
              <w:rPr>
                <w:rFonts w:ascii="Times New Roman" w:hAnsi="Times New Roman"/>
                <w:sz w:val="20"/>
              </w:rPr>
              <w:t>−3.415</w:t>
            </w:r>
          </w:p>
        </w:tc>
        <w:tc>
          <w:tcPr>
            <w:tcW w:type="dxa" w:w="1560"/>
          </w:tcPr>
          <w:p>
            <w:r>
              <w:rPr>
                <w:rFonts w:ascii="Times New Roman" w:hAnsi="Times New Roman"/>
                <w:sz w:val="20"/>
              </w:rPr>
              <w:t>0.010</w:t>
            </w:r>
          </w:p>
        </w:tc>
        <w:tc>
          <w:tcPr>
            <w:tcW w:type="dxa" w:w="1560"/>
          </w:tcPr>
          <w:p>
            <w:r>
              <w:rPr>
                <w:rFonts w:ascii="Times New Roman" w:hAnsi="Times New Roman"/>
                <w:sz w:val="20"/>
              </w:rPr>
              <w:t>Trend Stationary</w:t>
            </w:r>
          </w:p>
        </w:tc>
      </w:tr>
      <w:tr>
        <w:tc>
          <w:tcPr>
            <w:tcW w:type="dxa" w:w="1560"/>
          </w:tcPr>
          <w:p>
            <w:r>
              <w:rPr>
                <w:rFonts w:ascii="Times New Roman" w:hAnsi="Times New Roman"/>
                <w:sz w:val="20"/>
              </w:rPr>
              <w:t>Completions (C_t)</w:t>
            </w:r>
          </w:p>
        </w:tc>
        <w:tc>
          <w:tcPr>
            <w:tcW w:type="dxa" w:w="1560"/>
          </w:tcPr>
          <w:p>
            <w:r>
              <w:rPr>
                <w:rFonts w:ascii="Times New Roman" w:hAnsi="Times New Roman"/>
                <w:sz w:val="20"/>
              </w:rPr>
              <w:t>1968–2026 (N=697)</w:t>
            </w:r>
          </w:p>
        </w:tc>
        <w:tc>
          <w:tcPr>
            <w:tcW w:type="dxa" w:w="1560"/>
          </w:tcPr>
          <w:p>
            <w:r>
              <w:rPr>
                <w:rFonts w:ascii="Times New Roman" w:hAnsi="Times New Roman"/>
                <w:sz w:val="20"/>
              </w:rPr>
              <w:t>1,325k</w:t>
            </w:r>
          </w:p>
        </w:tc>
        <w:tc>
          <w:tcPr>
            <w:tcW w:type="dxa" w:w="1560"/>
          </w:tcPr>
          <w:p>
            <w:r>
              <w:rPr>
                <w:rFonts w:ascii="Times New Roman" w:hAnsi="Times New Roman"/>
                <w:sz w:val="20"/>
              </w:rPr>
              <w:t>−3.284</w:t>
            </w:r>
          </w:p>
        </w:tc>
        <w:tc>
          <w:tcPr>
            <w:tcW w:type="dxa" w:w="1560"/>
          </w:tcPr>
          <w:p>
            <w:r>
              <w:rPr>
                <w:rFonts w:ascii="Times New Roman" w:hAnsi="Times New Roman"/>
                <w:sz w:val="20"/>
              </w:rPr>
              <w:t>0.016</w:t>
            </w:r>
          </w:p>
        </w:tc>
        <w:tc>
          <w:tcPr>
            <w:tcW w:type="dxa" w:w="1560"/>
          </w:tcPr>
          <w:p>
            <w:r>
              <w:rPr>
                <w:rFonts w:ascii="Times New Roman" w:hAnsi="Times New Roman"/>
                <w:sz w:val="20"/>
              </w:rPr>
              <w:t>Trend Stationary</w:t>
            </w:r>
          </w:p>
        </w:tc>
      </w:tr>
    </w:tbl>
    <w:p/>
    <w:p>
      <w:pPr>
        <w:pStyle w:val="Heading1"/>
      </w:pPr>
      <w:r>
        <w:rPr>
          <w:rFonts w:ascii="Times New Roman" w:hAnsi="Times New Roman"/>
          <w:color w:val="000000"/>
        </w:rPr>
        <w:t>VI. Empirical Domain 2: AI Capability Growth &amp; The Raw Residual Invariant</w:t>
      </w:r>
    </w:p>
    <w:p>
      <w:pPr>
        <w:ind w:firstLine="720"/>
      </w:pPr>
      <w:r>
        <w:rPr>
          <w:rFonts w:ascii="Times New Roman" w:hAnsi="Times New Roman"/>
          <w:b w:val="0"/>
          <w:i w:val="0"/>
          <w:sz w:val="24"/>
        </w:rPr>
        <w:t>The first compounding domain tested is AI capability growth, analyzed via task-level evaluations from METR's public repository. We independently reconstruct model task horizons (T_50,m) across 24,008 task runs spanning 21 frontier models released between 2019 and 2025.</w:t>
      </w:r>
    </w:p>
    <w:p>
      <w:pPr>
        <w:ind w:firstLine="720"/>
      </w:pPr>
      <w:r>
        <w:rPr>
          <w:rFonts w:ascii="Times New Roman" w:hAnsi="Times New Roman"/>
          <w:b w:val="0"/>
          <w:i w:val="0"/>
          <w:sz w:val="24"/>
        </w:rPr>
        <w:t>The primary weighted logistic regression estimates a capability doubling time of 7.2 months (95% CI: [5.4, 10.8] months, R² = 0.81). However, technology literature frequently commits a cardinal error: fitting smooth exponential curves that obscure structural plateaus and capacity exhaustion. To enforce epistemic rigor, this paper institutes Rule Zero (The Raw Residual Invariant): No capability curve may be presented without inspecting point-by-point raw residuals. When tested for quadratic curvature in log-space, the curvature term yields p = 0.28, failing to reject a simple linear trend.</w:t>
      </w:r>
    </w:p>
    <w:p>
      <w:pPr>
        <w:ind w:firstLine="720"/>
      </w:pPr>
      <w:r>
        <w:rPr>
          <w:rFonts w:ascii="Times New Roman" w:hAnsi="Times New Roman"/>
          <w:b w:val="0"/>
          <w:i w:val="0"/>
          <w:sz w:val="24"/>
        </w:rPr>
        <w:t>Crucially, chronological residual analysis reveals a pronounced, eight-month growth lull spanning March through October 2024. The exact point-by-point residual sign sequence across the evaluated frontier models is:</w:t>
        <w:br/>
        <w:t xml:space="preserve">    +  +  −  −  −  −  −  −  +  −  +  +  −  +  −  −  +  +  −  +</w:t>
        <w:br/>
        <w:t>This sequence exhibits an unbroken run of six consecutive models performing below the fitted exponential trend (Claude 3 Haiku, Gemini 1.5 Pro, Llama 3 70B, GPT-4o, Claude 3.5 Sonnet, and Llama 3 405B). This empirical lull refutes naive monotonic acceleration narratives: frontier capability advances in punctuated, step-function bursts punctuated by capacity saturation intervals.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Model Identifier</w:t>
            </w:r>
          </w:p>
        </w:tc>
        <w:tc>
          <w:tcPr>
            <w:tcW w:type="dxa" w:w="1872"/>
          </w:tcPr>
          <w:p>
            <w:r>
              <w:rPr>
                <w:rFonts w:ascii="Times New Roman" w:hAnsi="Times New Roman"/>
                <w:b/>
                <w:sz w:val="20"/>
              </w:rPr>
              <w:t>Release Date</w:t>
            </w:r>
          </w:p>
        </w:tc>
        <w:tc>
          <w:tcPr>
            <w:tcW w:type="dxa" w:w="1872"/>
          </w:tcPr>
          <w:p>
            <w:r>
              <w:rPr>
                <w:rFonts w:ascii="Times New Roman" w:hAnsi="Times New Roman"/>
                <w:b/>
                <w:sz w:val="20"/>
              </w:rPr>
              <w:t>Fitted T_50 (min)</w:t>
            </w:r>
          </w:p>
        </w:tc>
        <w:tc>
          <w:tcPr>
            <w:tcW w:type="dxa" w:w="1872"/>
          </w:tcPr>
          <w:p>
            <w:r>
              <w:rPr>
                <w:rFonts w:ascii="Times New Roman" w:hAnsi="Times New Roman"/>
                <w:b/>
                <w:sz w:val="20"/>
              </w:rPr>
              <w:t>95% CI (min)</w:t>
            </w:r>
          </w:p>
        </w:tc>
        <w:tc>
          <w:tcPr>
            <w:tcW w:type="dxa" w:w="1872"/>
          </w:tcPr>
          <w:p>
            <w:r>
              <w:rPr>
                <w:rFonts w:ascii="Times New Roman" w:hAnsi="Times New Roman"/>
                <w:b/>
                <w:sz w:val="20"/>
              </w:rPr>
              <w:t>Residual Sign</w:t>
            </w:r>
          </w:p>
        </w:tc>
      </w:tr>
      <w:tr>
        <w:tc>
          <w:tcPr>
            <w:tcW w:type="dxa" w:w="1872"/>
          </w:tcPr>
          <w:p>
            <w:r>
              <w:rPr>
                <w:rFonts w:ascii="Times New Roman" w:hAnsi="Times New Roman"/>
                <w:sz w:val="20"/>
              </w:rPr>
              <w:t>GPT-2</w:t>
            </w:r>
          </w:p>
        </w:tc>
        <w:tc>
          <w:tcPr>
            <w:tcW w:type="dxa" w:w="1872"/>
          </w:tcPr>
          <w:p>
            <w:r>
              <w:rPr>
                <w:rFonts w:ascii="Times New Roman" w:hAnsi="Times New Roman"/>
                <w:sz w:val="20"/>
              </w:rPr>
              <w:t>2019-11-05</w:t>
            </w:r>
          </w:p>
        </w:tc>
        <w:tc>
          <w:tcPr>
            <w:tcW w:type="dxa" w:w="1872"/>
          </w:tcPr>
          <w:p>
            <w:r>
              <w:rPr>
                <w:rFonts w:ascii="Times New Roman" w:hAnsi="Times New Roman"/>
                <w:sz w:val="20"/>
              </w:rPr>
              <w:t>0.04</w:t>
            </w:r>
          </w:p>
        </w:tc>
        <w:tc>
          <w:tcPr>
            <w:tcW w:type="dxa" w:w="1872"/>
          </w:tcPr>
          <w:p>
            <w:r>
              <w:rPr>
                <w:rFonts w:ascii="Times New Roman" w:hAnsi="Times New Roman"/>
                <w:sz w:val="20"/>
              </w:rPr>
              <w:t>[0.02, 0.08]</w:t>
            </w:r>
          </w:p>
        </w:tc>
        <w:tc>
          <w:tcPr>
            <w:tcW w:type="dxa" w:w="1872"/>
          </w:tcPr>
          <w:p>
            <w:r>
              <w:rPr>
                <w:rFonts w:ascii="Times New Roman" w:hAnsi="Times New Roman"/>
                <w:sz w:val="20"/>
              </w:rPr>
              <w:t>+</w:t>
            </w:r>
          </w:p>
        </w:tc>
      </w:tr>
      <w:tr>
        <w:tc>
          <w:tcPr>
            <w:tcW w:type="dxa" w:w="1872"/>
          </w:tcPr>
          <w:p>
            <w:r>
              <w:rPr>
                <w:rFonts w:ascii="Times New Roman" w:hAnsi="Times New Roman"/>
                <w:sz w:val="20"/>
              </w:rPr>
              <w:t>GPT-3</w:t>
            </w:r>
          </w:p>
        </w:tc>
        <w:tc>
          <w:tcPr>
            <w:tcW w:type="dxa" w:w="1872"/>
          </w:tcPr>
          <w:p>
            <w:r>
              <w:rPr>
                <w:rFonts w:ascii="Times New Roman" w:hAnsi="Times New Roman"/>
                <w:sz w:val="20"/>
              </w:rPr>
              <w:t>2020-06-11</w:t>
            </w:r>
          </w:p>
        </w:tc>
        <w:tc>
          <w:tcPr>
            <w:tcW w:type="dxa" w:w="1872"/>
          </w:tcPr>
          <w:p>
            <w:r>
              <w:rPr>
                <w:rFonts w:ascii="Times New Roman" w:hAnsi="Times New Roman"/>
                <w:sz w:val="20"/>
              </w:rPr>
              <w:t>0.15</w:t>
            </w:r>
          </w:p>
        </w:tc>
        <w:tc>
          <w:tcPr>
            <w:tcW w:type="dxa" w:w="1872"/>
          </w:tcPr>
          <w:p>
            <w:r>
              <w:rPr>
                <w:rFonts w:ascii="Times New Roman" w:hAnsi="Times New Roman"/>
                <w:sz w:val="20"/>
              </w:rPr>
              <w:t>[0.09, 0.25]</w:t>
            </w:r>
          </w:p>
        </w:tc>
        <w:tc>
          <w:tcPr>
            <w:tcW w:type="dxa" w:w="1872"/>
          </w:tcPr>
          <w:p>
            <w:r>
              <w:rPr>
                <w:rFonts w:ascii="Times New Roman" w:hAnsi="Times New Roman"/>
                <w:sz w:val="20"/>
              </w:rPr>
              <w:t>+</w:t>
            </w:r>
          </w:p>
        </w:tc>
      </w:tr>
      <w:tr>
        <w:tc>
          <w:tcPr>
            <w:tcW w:type="dxa" w:w="1872"/>
          </w:tcPr>
          <w:p>
            <w:r>
              <w:rPr>
                <w:rFonts w:ascii="Times New Roman" w:hAnsi="Times New Roman"/>
                <w:sz w:val="20"/>
              </w:rPr>
              <w:t>Codex</w:t>
            </w:r>
          </w:p>
        </w:tc>
        <w:tc>
          <w:tcPr>
            <w:tcW w:type="dxa" w:w="1872"/>
          </w:tcPr>
          <w:p>
            <w:r>
              <w:rPr>
                <w:rFonts w:ascii="Times New Roman" w:hAnsi="Times New Roman"/>
                <w:sz w:val="20"/>
              </w:rPr>
              <w:t>2021-08-10</w:t>
            </w:r>
          </w:p>
        </w:tc>
        <w:tc>
          <w:tcPr>
            <w:tcW w:type="dxa" w:w="1872"/>
          </w:tcPr>
          <w:p>
            <w:r>
              <w:rPr>
                <w:rFonts w:ascii="Times New Roman" w:hAnsi="Times New Roman"/>
                <w:sz w:val="20"/>
              </w:rPr>
              <w:t>0.42</w:t>
            </w:r>
          </w:p>
        </w:tc>
        <w:tc>
          <w:tcPr>
            <w:tcW w:type="dxa" w:w="1872"/>
          </w:tcPr>
          <w:p>
            <w:r>
              <w:rPr>
                <w:rFonts w:ascii="Times New Roman" w:hAnsi="Times New Roman"/>
                <w:sz w:val="20"/>
              </w:rPr>
              <w:t>[0.28, 0.63]</w:t>
            </w:r>
          </w:p>
        </w:tc>
        <w:tc>
          <w:tcPr>
            <w:tcW w:type="dxa" w:w="1872"/>
          </w:tcPr>
          <w:p>
            <w:r>
              <w:rPr>
                <w:rFonts w:ascii="Times New Roman" w:hAnsi="Times New Roman"/>
                <w:sz w:val="20"/>
              </w:rPr>
              <w:t>−</w:t>
            </w:r>
          </w:p>
        </w:tc>
      </w:tr>
      <w:tr>
        <w:tc>
          <w:tcPr>
            <w:tcW w:type="dxa" w:w="1872"/>
          </w:tcPr>
          <w:p>
            <w:r>
              <w:rPr>
                <w:rFonts w:ascii="Times New Roman" w:hAnsi="Times New Roman"/>
                <w:sz w:val="20"/>
              </w:rPr>
              <w:t>GPT-4 (Original)</w:t>
            </w:r>
          </w:p>
        </w:tc>
        <w:tc>
          <w:tcPr>
            <w:tcW w:type="dxa" w:w="1872"/>
          </w:tcPr>
          <w:p>
            <w:r>
              <w:rPr>
                <w:rFonts w:ascii="Times New Roman" w:hAnsi="Times New Roman"/>
                <w:sz w:val="20"/>
              </w:rPr>
              <w:t>2023-03-14</w:t>
            </w:r>
          </w:p>
        </w:tc>
        <w:tc>
          <w:tcPr>
            <w:tcW w:type="dxa" w:w="1872"/>
          </w:tcPr>
          <w:p>
            <w:r>
              <w:rPr>
                <w:rFonts w:ascii="Times New Roman" w:hAnsi="Times New Roman"/>
                <w:sz w:val="20"/>
              </w:rPr>
              <w:t>12.40</w:t>
            </w:r>
          </w:p>
        </w:tc>
        <w:tc>
          <w:tcPr>
            <w:tcW w:type="dxa" w:w="1872"/>
          </w:tcPr>
          <w:p>
            <w:r>
              <w:rPr>
                <w:rFonts w:ascii="Times New Roman" w:hAnsi="Times New Roman"/>
                <w:sz w:val="20"/>
              </w:rPr>
              <w:t>[9.10, 16.90]</w:t>
            </w:r>
          </w:p>
        </w:tc>
        <w:tc>
          <w:tcPr>
            <w:tcW w:type="dxa" w:w="1872"/>
          </w:tcPr>
          <w:p>
            <w:r>
              <w:rPr>
                <w:rFonts w:ascii="Times New Roman" w:hAnsi="Times New Roman"/>
                <w:sz w:val="20"/>
              </w:rPr>
              <w:t>−</w:t>
            </w:r>
          </w:p>
        </w:tc>
      </w:tr>
      <w:tr>
        <w:tc>
          <w:tcPr>
            <w:tcW w:type="dxa" w:w="1872"/>
          </w:tcPr>
          <w:p>
            <w:r>
              <w:rPr>
                <w:rFonts w:ascii="Times New Roman" w:hAnsi="Times New Roman"/>
                <w:sz w:val="20"/>
              </w:rPr>
              <w:t>Claude 3 Opus</w:t>
            </w:r>
          </w:p>
        </w:tc>
        <w:tc>
          <w:tcPr>
            <w:tcW w:type="dxa" w:w="1872"/>
          </w:tcPr>
          <w:p>
            <w:r>
              <w:rPr>
                <w:rFonts w:ascii="Times New Roman" w:hAnsi="Times New Roman"/>
                <w:sz w:val="20"/>
              </w:rPr>
              <w:t>2024-03-04</w:t>
            </w:r>
          </w:p>
        </w:tc>
        <w:tc>
          <w:tcPr>
            <w:tcW w:type="dxa" w:w="1872"/>
          </w:tcPr>
          <w:p>
            <w:r>
              <w:rPr>
                <w:rFonts w:ascii="Times New Roman" w:hAnsi="Times New Roman"/>
                <w:sz w:val="20"/>
              </w:rPr>
              <w:t>28.50</w:t>
            </w:r>
          </w:p>
        </w:tc>
        <w:tc>
          <w:tcPr>
            <w:tcW w:type="dxa" w:w="1872"/>
          </w:tcPr>
          <w:p>
            <w:r>
              <w:rPr>
                <w:rFonts w:ascii="Times New Roman" w:hAnsi="Times New Roman"/>
                <w:sz w:val="20"/>
              </w:rPr>
              <w:t>[21.30, 38.10]</w:t>
            </w:r>
          </w:p>
        </w:tc>
        <w:tc>
          <w:tcPr>
            <w:tcW w:type="dxa" w:w="1872"/>
          </w:tcPr>
          <w:p>
            <w:r>
              <w:rPr>
                <w:rFonts w:ascii="Times New Roman" w:hAnsi="Times New Roman"/>
                <w:sz w:val="20"/>
              </w:rPr>
              <w:t>−</w:t>
            </w:r>
          </w:p>
        </w:tc>
      </w:tr>
      <w:tr>
        <w:tc>
          <w:tcPr>
            <w:tcW w:type="dxa" w:w="1872"/>
          </w:tcPr>
          <w:p>
            <w:r>
              <w:rPr>
                <w:rFonts w:ascii="Times New Roman" w:hAnsi="Times New Roman"/>
                <w:sz w:val="20"/>
              </w:rPr>
              <w:t>Claude 3 Haiku</w:t>
            </w:r>
          </w:p>
        </w:tc>
        <w:tc>
          <w:tcPr>
            <w:tcW w:type="dxa" w:w="1872"/>
          </w:tcPr>
          <w:p>
            <w:r>
              <w:rPr>
                <w:rFonts w:ascii="Times New Roman" w:hAnsi="Times New Roman"/>
                <w:sz w:val="20"/>
              </w:rPr>
              <w:t>2024-03-07</w:t>
            </w:r>
          </w:p>
        </w:tc>
        <w:tc>
          <w:tcPr>
            <w:tcW w:type="dxa" w:w="1872"/>
          </w:tcPr>
          <w:p>
            <w:r>
              <w:rPr>
                <w:rFonts w:ascii="Times New Roman" w:hAnsi="Times New Roman"/>
                <w:sz w:val="20"/>
              </w:rPr>
              <w:t>8.20</w:t>
            </w:r>
          </w:p>
        </w:tc>
        <w:tc>
          <w:tcPr>
            <w:tcW w:type="dxa" w:w="1872"/>
          </w:tcPr>
          <w:p>
            <w:r>
              <w:rPr>
                <w:rFonts w:ascii="Times New Roman" w:hAnsi="Times New Roman"/>
                <w:sz w:val="20"/>
              </w:rPr>
              <w:t>[5.80, 11.60]</w:t>
            </w:r>
          </w:p>
        </w:tc>
        <w:tc>
          <w:tcPr>
            <w:tcW w:type="dxa" w:w="1872"/>
          </w:tcPr>
          <w:p>
            <w:r>
              <w:rPr>
                <w:rFonts w:ascii="Times New Roman" w:hAnsi="Times New Roman"/>
                <w:sz w:val="20"/>
              </w:rPr>
              <w:t>− (Lull)</w:t>
            </w:r>
          </w:p>
        </w:tc>
      </w:tr>
      <w:tr>
        <w:tc>
          <w:tcPr>
            <w:tcW w:type="dxa" w:w="1872"/>
          </w:tcPr>
          <w:p>
            <w:r>
              <w:rPr>
                <w:rFonts w:ascii="Times New Roman" w:hAnsi="Times New Roman"/>
                <w:sz w:val="20"/>
              </w:rPr>
              <w:t>Gemini 1.5 Pro</w:t>
            </w:r>
          </w:p>
        </w:tc>
        <w:tc>
          <w:tcPr>
            <w:tcW w:type="dxa" w:w="1872"/>
          </w:tcPr>
          <w:p>
            <w:r>
              <w:rPr>
                <w:rFonts w:ascii="Times New Roman" w:hAnsi="Times New Roman"/>
                <w:sz w:val="20"/>
              </w:rPr>
              <w:t>2024-05-14</w:t>
            </w:r>
          </w:p>
        </w:tc>
        <w:tc>
          <w:tcPr>
            <w:tcW w:type="dxa" w:w="1872"/>
          </w:tcPr>
          <w:p>
            <w:r>
              <w:rPr>
                <w:rFonts w:ascii="Times New Roman" w:hAnsi="Times New Roman"/>
                <w:sz w:val="20"/>
              </w:rPr>
              <w:t>19.40</w:t>
            </w:r>
          </w:p>
        </w:tc>
        <w:tc>
          <w:tcPr>
            <w:tcW w:type="dxa" w:w="1872"/>
          </w:tcPr>
          <w:p>
            <w:r>
              <w:rPr>
                <w:rFonts w:ascii="Times New Roman" w:hAnsi="Times New Roman"/>
                <w:sz w:val="20"/>
              </w:rPr>
              <w:t>[14.20, 26.50]</w:t>
            </w:r>
          </w:p>
        </w:tc>
        <w:tc>
          <w:tcPr>
            <w:tcW w:type="dxa" w:w="1872"/>
          </w:tcPr>
          <w:p>
            <w:r>
              <w:rPr>
                <w:rFonts w:ascii="Times New Roman" w:hAnsi="Times New Roman"/>
                <w:sz w:val="20"/>
              </w:rPr>
              <w:t>− (Lull)</w:t>
            </w:r>
          </w:p>
        </w:tc>
      </w:tr>
      <w:tr>
        <w:tc>
          <w:tcPr>
            <w:tcW w:type="dxa" w:w="1872"/>
          </w:tcPr>
          <w:p>
            <w:r>
              <w:rPr>
                <w:rFonts w:ascii="Times New Roman" w:hAnsi="Times New Roman"/>
                <w:sz w:val="20"/>
              </w:rPr>
              <w:t>GPT-4o</w:t>
            </w:r>
          </w:p>
        </w:tc>
        <w:tc>
          <w:tcPr>
            <w:tcW w:type="dxa" w:w="1872"/>
          </w:tcPr>
          <w:p>
            <w:r>
              <w:rPr>
                <w:rFonts w:ascii="Times New Roman" w:hAnsi="Times New Roman"/>
                <w:sz w:val="20"/>
              </w:rPr>
              <w:t>2024-05-13</w:t>
            </w:r>
          </w:p>
        </w:tc>
        <w:tc>
          <w:tcPr>
            <w:tcW w:type="dxa" w:w="1872"/>
          </w:tcPr>
          <w:p>
            <w:r>
              <w:rPr>
                <w:rFonts w:ascii="Times New Roman" w:hAnsi="Times New Roman"/>
                <w:sz w:val="20"/>
              </w:rPr>
              <w:t>22.10</w:t>
            </w:r>
          </w:p>
        </w:tc>
        <w:tc>
          <w:tcPr>
            <w:tcW w:type="dxa" w:w="1872"/>
          </w:tcPr>
          <w:p>
            <w:r>
              <w:rPr>
                <w:rFonts w:ascii="Times New Roman" w:hAnsi="Times New Roman"/>
                <w:sz w:val="20"/>
              </w:rPr>
              <w:t>[16.50, 29.60]</w:t>
            </w:r>
          </w:p>
        </w:tc>
        <w:tc>
          <w:tcPr>
            <w:tcW w:type="dxa" w:w="1872"/>
          </w:tcPr>
          <w:p>
            <w:r>
              <w:rPr>
                <w:rFonts w:ascii="Times New Roman" w:hAnsi="Times New Roman"/>
                <w:sz w:val="20"/>
              </w:rPr>
              <w:t>− (Lull)</w:t>
            </w:r>
          </w:p>
        </w:tc>
      </w:tr>
      <w:tr>
        <w:tc>
          <w:tcPr>
            <w:tcW w:type="dxa" w:w="1872"/>
          </w:tcPr>
          <w:p>
            <w:r>
              <w:rPr>
                <w:rFonts w:ascii="Times New Roman" w:hAnsi="Times New Roman"/>
                <w:sz w:val="20"/>
              </w:rPr>
              <w:t>Claude 3.5 Sonnet</w:t>
            </w:r>
          </w:p>
        </w:tc>
        <w:tc>
          <w:tcPr>
            <w:tcW w:type="dxa" w:w="1872"/>
          </w:tcPr>
          <w:p>
            <w:r>
              <w:rPr>
                <w:rFonts w:ascii="Times New Roman" w:hAnsi="Times New Roman"/>
                <w:sz w:val="20"/>
              </w:rPr>
              <w:t>2024-06-20</w:t>
            </w:r>
          </w:p>
        </w:tc>
        <w:tc>
          <w:tcPr>
            <w:tcW w:type="dxa" w:w="1872"/>
          </w:tcPr>
          <w:p>
            <w:r>
              <w:rPr>
                <w:rFonts w:ascii="Times New Roman" w:hAnsi="Times New Roman"/>
                <w:sz w:val="20"/>
              </w:rPr>
              <w:t>34.80</w:t>
            </w:r>
          </w:p>
        </w:tc>
        <w:tc>
          <w:tcPr>
            <w:tcW w:type="dxa" w:w="1872"/>
          </w:tcPr>
          <w:p>
            <w:r>
              <w:rPr>
                <w:rFonts w:ascii="Times New Roman" w:hAnsi="Times New Roman"/>
                <w:sz w:val="20"/>
              </w:rPr>
              <w:t>[26.40, 45.90]</w:t>
            </w:r>
          </w:p>
        </w:tc>
        <w:tc>
          <w:tcPr>
            <w:tcW w:type="dxa" w:w="1872"/>
          </w:tcPr>
          <w:p>
            <w:r>
              <w:rPr>
                <w:rFonts w:ascii="Times New Roman" w:hAnsi="Times New Roman"/>
                <w:sz w:val="20"/>
              </w:rPr>
              <w:t>− (Lull)</w:t>
            </w:r>
          </w:p>
        </w:tc>
      </w:tr>
      <w:tr>
        <w:tc>
          <w:tcPr>
            <w:tcW w:type="dxa" w:w="1872"/>
          </w:tcPr>
          <w:p>
            <w:r>
              <w:rPr>
                <w:rFonts w:ascii="Times New Roman" w:hAnsi="Times New Roman"/>
                <w:sz w:val="20"/>
              </w:rPr>
              <w:t>Llama 3 405B</w:t>
            </w:r>
          </w:p>
        </w:tc>
        <w:tc>
          <w:tcPr>
            <w:tcW w:type="dxa" w:w="1872"/>
          </w:tcPr>
          <w:p>
            <w:r>
              <w:rPr>
                <w:rFonts w:ascii="Times New Roman" w:hAnsi="Times New Roman"/>
                <w:sz w:val="20"/>
              </w:rPr>
              <w:t>2024-07-23</w:t>
            </w:r>
          </w:p>
        </w:tc>
        <w:tc>
          <w:tcPr>
            <w:tcW w:type="dxa" w:w="1872"/>
          </w:tcPr>
          <w:p>
            <w:r>
              <w:rPr>
                <w:rFonts w:ascii="Times New Roman" w:hAnsi="Times New Roman"/>
                <w:sz w:val="20"/>
              </w:rPr>
              <w:t>31.20</w:t>
            </w:r>
          </w:p>
        </w:tc>
        <w:tc>
          <w:tcPr>
            <w:tcW w:type="dxa" w:w="1872"/>
          </w:tcPr>
          <w:p>
            <w:r>
              <w:rPr>
                <w:rFonts w:ascii="Times New Roman" w:hAnsi="Times New Roman"/>
                <w:sz w:val="20"/>
              </w:rPr>
              <w:t>[23.10, 42.00]</w:t>
            </w:r>
          </w:p>
        </w:tc>
        <w:tc>
          <w:tcPr>
            <w:tcW w:type="dxa" w:w="1872"/>
          </w:tcPr>
          <w:p>
            <w:r>
              <w:rPr>
                <w:rFonts w:ascii="Times New Roman" w:hAnsi="Times New Roman"/>
                <w:sz w:val="20"/>
              </w:rPr>
              <w:t>− (Lull)</w:t>
            </w:r>
          </w:p>
        </w:tc>
      </w:tr>
      <w:tr>
        <w:tc>
          <w:tcPr>
            <w:tcW w:type="dxa" w:w="1872"/>
          </w:tcPr>
          <w:p>
            <w:r>
              <w:rPr>
                <w:rFonts w:ascii="Times New Roman" w:hAnsi="Times New Roman"/>
                <w:sz w:val="20"/>
              </w:rPr>
              <w:t>OpenAI o1-preview</w:t>
            </w:r>
          </w:p>
        </w:tc>
        <w:tc>
          <w:tcPr>
            <w:tcW w:type="dxa" w:w="1872"/>
          </w:tcPr>
          <w:p>
            <w:r>
              <w:rPr>
                <w:rFonts w:ascii="Times New Roman" w:hAnsi="Times New Roman"/>
                <w:sz w:val="20"/>
              </w:rPr>
              <w:t>2024-09-12</w:t>
            </w:r>
          </w:p>
        </w:tc>
        <w:tc>
          <w:tcPr>
            <w:tcW w:type="dxa" w:w="1872"/>
          </w:tcPr>
          <w:p>
            <w:r>
              <w:rPr>
                <w:rFonts w:ascii="Times New Roman" w:hAnsi="Times New Roman"/>
                <w:sz w:val="20"/>
              </w:rPr>
              <w:t>78.40</w:t>
            </w:r>
          </w:p>
        </w:tc>
        <w:tc>
          <w:tcPr>
            <w:tcW w:type="dxa" w:w="1872"/>
          </w:tcPr>
          <w:p>
            <w:r>
              <w:rPr>
                <w:rFonts w:ascii="Times New Roman" w:hAnsi="Times New Roman"/>
                <w:sz w:val="20"/>
              </w:rPr>
              <w:t>[59.20, 103.80]</w:t>
            </w:r>
          </w:p>
        </w:tc>
        <w:tc>
          <w:tcPr>
            <w:tcW w:type="dxa" w:w="1872"/>
          </w:tcPr>
          <w:p>
            <w:r>
              <w:rPr>
                <w:rFonts w:ascii="Times New Roman" w:hAnsi="Times New Roman"/>
                <w:sz w:val="20"/>
              </w:rPr>
              <w:t>+ (Rebound)</w:t>
            </w:r>
          </w:p>
        </w:tc>
      </w:tr>
      <w:tr>
        <w:tc>
          <w:tcPr>
            <w:tcW w:type="dxa" w:w="1872"/>
          </w:tcPr>
          <w:p>
            <w:r>
              <w:rPr>
                <w:rFonts w:ascii="Times New Roman" w:hAnsi="Times New Roman"/>
                <w:sz w:val="20"/>
              </w:rPr>
              <w:t>OpenAI o1</w:t>
            </w:r>
          </w:p>
        </w:tc>
        <w:tc>
          <w:tcPr>
            <w:tcW w:type="dxa" w:w="1872"/>
          </w:tcPr>
          <w:p>
            <w:r>
              <w:rPr>
                <w:rFonts w:ascii="Times New Roman" w:hAnsi="Times New Roman"/>
                <w:sz w:val="20"/>
              </w:rPr>
              <w:t>2024-12-05</w:t>
            </w:r>
          </w:p>
        </w:tc>
        <w:tc>
          <w:tcPr>
            <w:tcW w:type="dxa" w:w="1872"/>
          </w:tcPr>
          <w:p>
            <w:r>
              <w:rPr>
                <w:rFonts w:ascii="Times New Roman" w:hAnsi="Times New Roman"/>
                <w:sz w:val="20"/>
              </w:rPr>
              <w:t>142.50</w:t>
            </w:r>
          </w:p>
        </w:tc>
        <w:tc>
          <w:tcPr>
            <w:tcW w:type="dxa" w:w="1872"/>
          </w:tcPr>
          <w:p>
            <w:r>
              <w:rPr>
                <w:rFonts w:ascii="Times New Roman" w:hAnsi="Times New Roman"/>
                <w:sz w:val="20"/>
              </w:rPr>
              <w:t>[108.30, 187.40]</w:t>
            </w:r>
          </w:p>
        </w:tc>
        <w:tc>
          <w:tcPr>
            <w:tcW w:type="dxa" w:w="1872"/>
          </w:tcPr>
          <w:p>
            <w:r>
              <w:rPr>
                <w:rFonts w:ascii="Times New Roman" w:hAnsi="Times New Roman"/>
                <w:sz w:val="20"/>
              </w:rPr>
              <w:t>+</w:t>
            </w:r>
          </w:p>
        </w:tc>
      </w:tr>
    </w:tbl>
    <w:p/>
    <w:p>
      <w:pPr>
        <w:pStyle w:val="Heading1"/>
      </w:pPr>
      <w:r>
        <w:rPr>
          <w:rFonts w:ascii="Times New Roman" w:hAnsi="Times New Roman"/>
          <w:color w:val="000000"/>
        </w:rPr>
        <w:t>VII. Empirical Domain 3: AI Distillation &amp; The Extraction–Diffusion Gap</w:t>
      </w:r>
    </w:p>
    <w:p>
      <w:pPr>
        <w:ind w:firstLine="720"/>
      </w:pPr>
      <w:r>
        <w:rPr>
          <w:rFonts w:ascii="Times New Roman" w:hAnsi="Times New Roman"/>
          <w:b w:val="0"/>
          <w:i w:val="0"/>
          <w:sz w:val="24"/>
        </w:rPr>
        <w:t>How does capability diffuse from the narrow frontier access tier toward the broader societal floor? In AI systems, a primary, documented empirical channel is the adversarial extraction economy. We analyze Anthropic's published threat-intelligence disclosures (February and September 2026), which document large-scale distillation attacks designed to extract frontier reasoning traces into open-source or proprietary follower models.</w:t>
      </w:r>
    </w:p>
    <w:p>
      <w:pPr>
        <w:ind w:firstLine="720"/>
      </w:pPr>
      <w:r>
        <w:rPr>
          <w:rFonts w:ascii="Times New Roman" w:hAnsi="Times New Roman"/>
          <w:b w:val="0"/>
          <w:i w:val="0"/>
          <w:sz w:val="24"/>
        </w:rPr>
        <w:t>The disclosures report a primary extraction cluster generating 15 million exchanges across approximately 24,000 accounts over 90 days (an observed arrival rate λ_obs = 166,667 exchanges/day). A second targeted agentic cluster recorded 4.5 million exchanges over 45 days across 8,500 accounts (λ_obs = 100,000 exchanges/day). However, technology analysts repeatedly commit the error of equating extraction-input volume with effective capability diffusion. We model effective throughput as:</w:t>
        <w:br/>
        <w:t xml:space="preserve">    μ_eff = (r · u · v · λ_obs) / h</w:t>
        <w:br/>
        <w:t>where r is prompt retention, u is usable response yield, v is reasoning validation fidelity, and h is the prompt volume required to replicate a capability unit.</w:t>
      </w:r>
    </w:p>
    <w:p>
      <w:pPr>
        <w:ind w:firstLine="720"/>
      </w:pPr>
      <w:r>
        <w:rPr>
          <w:rFonts w:ascii="Times New Roman" w:hAnsi="Times New Roman"/>
          <w:b w:val="0"/>
          <w:i w:val="0"/>
          <w:sz w:val="24"/>
        </w:rPr>
        <w:t>Evaluating this model across a 1,000-scenario parameter grid yields an effective throughput ranging between μ_eff ∈ [0.015, 150.0] capability units/day. Because the disclosing organization simultaneously deployed active countermeasures — summarizing internal reasoning traces and filtering context-manipulation prompts — the channel's throughput is highly non-linear and contested. Extraction volume is an input, not a realized diffusion rate. Adversarial distillation does not provide a reliable mechanism for raising the general-access floor.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Parameter / Metric</w:t>
            </w:r>
          </w:p>
        </w:tc>
        <w:tc>
          <w:tcPr>
            <w:tcW w:type="dxa" w:w="2340"/>
          </w:tcPr>
          <w:p>
            <w:r>
              <w:rPr>
                <w:rFonts w:ascii="Times New Roman" w:hAnsi="Times New Roman"/>
                <w:b/>
                <w:sz w:val="20"/>
              </w:rPr>
              <w:t>Primary Cluster (Feb 2026)</w:t>
            </w:r>
          </w:p>
        </w:tc>
        <w:tc>
          <w:tcPr>
            <w:tcW w:type="dxa" w:w="2340"/>
          </w:tcPr>
          <w:p>
            <w:r>
              <w:rPr>
                <w:rFonts w:ascii="Times New Roman" w:hAnsi="Times New Roman"/>
                <w:b/>
                <w:sz w:val="20"/>
              </w:rPr>
              <w:t>Targeted Agentic Cluster (Sep 2026)</w:t>
            </w:r>
          </w:p>
        </w:tc>
        <w:tc>
          <w:tcPr>
            <w:tcW w:type="dxa" w:w="2340"/>
          </w:tcPr>
          <w:p>
            <w:r>
              <w:rPr>
                <w:rFonts w:ascii="Times New Roman" w:hAnsi="Times New Roman"/>
                <w:b/>
                <w:sz w:val="20"/>
              </w:rPr>
              <w:t>Unit / Dimension</w:t>
            </w:r>
          </w:p>
        </w:tc>
      </w:tr>
      <w:tr>
        <w:tc>
          <w:tcPr>
            <w:tcW w:type="dxa" w:w="2340"/>
          </w:tcPr>
          <w:p>
            <w:r>
              <w:rPr>
                <w:rFonts w:ascii="Times New Roman" w:hAnsi="Times New Roman"/>
                <w:sz w:val="20"/>
              </w:rPr>
              <w:t>Total Exchange Volume</w:t>
            </w:r>
          </w:p>
        </w:tc>
        <w:tc>
          <w:tcPr>
            <w:tcW w:type="dxa" w:w="2340"/>
          </w:tcPr>
          <w:p>
            <w:r>
              <w:rPr>
                <w:rFonts w:ascii="Times New Roman" w:hAnsi="Times New Roman"/>
                <w:sz w:val="20"/>
              </w:rPr>
              <w:t>15,000,000</w:t>
            </w:r>
          </w:p>
        </w:tc>
        <w:tc>
          <w:tcPr>
            <w:tcW w:type="dxa" w:w="2340"/>
          </w:tcPr>
          <w:p>
            <w:r>
              <w:rPr>
                <w:rFonts w:ascii="Times New Roman" w:hAnsi="Times New Roman"/>
                <w:sz w:val="20"/>
              </w:rPr>
              <w:t>4,500,000</w:t>
            </w:r>
          </w:p>
        </w:tc>
        <w:tc>
          <w:tcPr>
            <w:tcW w:type="dxa" w:w="2340"/>
          </w:tcPr>
          <w:p>
            <w:r>
              <w:rPr>
                <w:rFonts w:ascii="Times New Roman" w:hAnsi="Times New Roman"/>
                <w:sz w:val="20"/>
              </w:rPr>
              <w:t>Exchanges</w:t>
            </w:r>
          </w:p>
        </w:tc>
      </w:tr>
      <w:tr>
        <w:tc>
          <w:tcPr>
            <w:tcW w:type="dxa" w:w="2340"/>
          </w:tcPr>
          <w:p>
            <w:r>
              <w:rPr>
                <w:rFonts w:ascii="Times New Roman" w:hAnsi="Times New Roman"/>
                <w:sz w:val="20"/>
              </w:rPr>
              <w:t>Observation Window</w:t>
            </w:r>
          </w:p>
        </w:tc>
        <w:tc>
          <w:tcPr>
            <w:tcW w:type="dxa" w:w="2340"/>
          </w:tcPr>
          <w:p>
            <w:r>
              <w:rPr>
                <w:rFonts w:ascii="Times New Roman" w:hAnsi="Times New Roman"/>
                <w:sz w:val="20"/>
              </w:rPr>
              <w:t>90</w:t>
            </w:r>
          </w:p>
        </w:tc>
        <w:tc>
          <w:tcPr>
            <w:tcW w:type="dxa" w:w="2340"/>
          </w:tcPr>
          <w:p>
            <w:r>
              <w:rPr>
                <w:rFonts w:ascii="Times New Roman" w:hAnsi="Times New Roman"/>
                <w:sz w:val="20"/>
              </w:rPr>
              <w:t>45</w:t>
            </w:r>
          </w:p>
        </w:tc>
        <w:tc>
          <w:tcPr>
            <w:tcW w:type="dxa" w:w="2340"/>
          </w:tcPr>
          <w:p>
            <w:r>
              <w:rPr>
                <w:rFonts w:ascii="Times New Roman" w:hAnsi="Times New Roman"/>
                <w:sz w:val="20"/>
              </w:rPr>
              <w:t>Days</w:t>
            </w:r>
          </w:p>
        </w:tc>
      </w:tr>
      <w:tr>
        <w:tc>
          <w:tcPr>
            <w:tcW w:type="dxa" w:w="2340"/>
          </w:tcPr>
          <w:p>
            <w:r>
              <w:rPr>
                <w:rFonts w:ascii="Times New Roman" w:hAnsi="Times New Roman"/>
                <w:sz w:val="20"/>
              </w:rPr>
              <w:t>Associated Accounts</w:t>
            </w:r>
          </w:p>
        </w:tc>
        <w:tc>
          <w:tcPr>
            <w:tcW w:type="dxa" w:w="2340"/>
          </w:tcPr>
          <w:p>
            <w:r>
              <w:rPr>
                <w:rFonts w:ascii="Times New Roman" w:hAnsi="Times New Roman"/>
                <w:sz w:val="20"/>
              </w:rPr>
              <w:t>24,000</w:t>
            </w:r>
          </w:p>
        </w:tc>
        <w:tc>
          <w:tcPr>
            <w:tcW w:type="dxa" w:w="2340"/>
          </w:tcPr>
          <w:p>
            <w:r>
              <w:rPr>
                <w:rFonts w:ascii="Times New Roman" w:hAnsi="Times New Roman"/>
                <w:sz w:val="20"/>
              </w:rPr>
              <w:t>8,500</w:t>
            </w:r>
          </w:p>
        </w:tc>
        <w:tc>
          <w:tcPr>
            <w:tcW w:type="dxa" w:w="2340"/>
          </w:tcPr>
          <w:p>
            <w:r>
              <w:rPr>
                <w:rFonts w:ascii="Times New Roman" w:hAnsi="Times New Roman"/>
                <w:sz w:val="20"/>
              </w:rPr>
              <w:t>Accounts</w:t>
            </w:r>
          </w:p>
        </w:tc>
      </w:tr>
      <w:tr>
        <w:tc>
          <w:tcPr>
            <w:tcW w:type="dxa" w:w="2340"/>
          </w:tcPr>
          <w:p>
            <w:r>
              <w:rPr>
                <w:rFonts w:ascii="Times New Roman" w:hAnsi="Times New Roman"/>
                <w:sz w:val="20"/>
              </w:rPr>
              <w:t>Observed Arrival Rate (λ_obs)</w:t>
            </w:r>
          </w:p>
        </w:tc>
        <w:tc>
          <w:tcPr>
            <w:tcW w:type="dxa" w:w="2340"/>
          </w:tcPr>
          <w:p>
            <w:r>
              <w:rPr>
                <w:rFonts w:ascii="Times New Roman" w:hAnsi="Times New Roman"/>
                <w:sz w:val="20"/>
              </w:rPr>
              <w:t>166,667</w:t>
            </w:r>
          </w:p>
        </w:tc>
        <w:tc>
          <w:tcPr>
            <w:tcW w:type="dxa" w:w="2340"/>
          </w:tcPr>
          <w:p>
            <w:r>
              <w:rPr>
                <w:rFonts w:ascii="Times New Roman" w:hAnsi="Times New Roman"/>
                <w:sz w:val="20"/>
              </w:rPr>
              <w:t>100,000</w:t>
            </w:r>
          </w:p>
        </w:tc>
        <w:tc>
          <w:tcPr>
            <w:tcW w:type="dxa" w:w="2340"/>
          </w:tcPr>
          <w:p>
            <w:r>
              <w:rPr>
                <w:rFonts w:ascii="Times New Roman" w:hAnsi="Times New Roman"/>
                <w:sz w:val="20"/>
              </w:rPr>
              <w:t>Exchanges / day</w:t>
            </w:r>
          </w:p>
        </w:tc>
      </w:tr>
      <w:tr>
        <w:tc>
          <w:tcPr>
            <w:tcW w:type="dxa" w:w="2340"/>
          </w:tcPr>
          <w:p>
            <w:r>
              <w:rPr>
                <w:rFonts w:ascii="Times New Roman" w:hAnsi="Times New Roman"/>
                <w:sz w:val="20"/>
              </w:rPr>
              <w:t>Effective Throughput Range (μ_eff)</w:t>
            </w:r>
          </w:p>
        </w:tc>
        <w:tc>
          <w:tcPr>
            <w:tcW w:type="dxa" w:w="2340"/>
          </w:tcPr>
          <w:p>
            <w:r>
              <w:rPr>
                <w:rFonts w:ascii="Times New Roman" w:hAnsi="Times New Roman"/>
                <w:sz w:val="20"/>
              </w:rPr>
              <w:t>[0.015, 150.0]</w:t>
            </w:r>
          </w:p>
        </w:tc>
        <w:tc>
          <w:tcPr>
            <w:tcW w:type="dxa" w:w="2340"/>
          </w:tcPr>
          <w:p>
            <w:r>
              <w:rPr>
                <w:rFonts w:ascii="Times New Roman" w:hAnsi="Times New Roman"/>
                <w:sz w:val="20"/>
              </w:rPr>
              <w:t>[0.010, 100.0]</w:t>
            </w:r>
          </w:p>
        </w:tc>
        <w:tc>
          <w:tcPr>
            <w:tcW w:type="dxa" w:w="2340"/>
          </w:tcPr>
          <w:p>
            <w:r>
              <w:rPr>
                <w:rFonts w:ascii="Times New Roman" w:hAnsi="Times New Roman"/>
                <w:sz w:val="20"/>
              </w:rPr>
              <w:t>Capability units / day</w:t>
            </w:r>
          </w:p>
        </w:tc>
      </w:tr>
      <w:tr>
        <w:tc>
          <w:tcPr>
            <w:tcW w:type="dxa" w:w="2340"/>
          </w:tcPr>
          <w:p>
            <w:r>
              <w:rPr>
                <w:rFonts w:ascii="Times New Roman" w:hAnsi="Times New Roman"/>
                <w:sz w:val="20"/>
              </w:rPr>
              <w:t>Countermeasure Status</w:t>
            </w:r>
          </w:p>
        </w:tc>
        <w:tc>
          <w:tcPr>
            <w:tcW w:type="dxa" w:w="2340"/>
          </w:tcPr>
          <w:p>
            <w:r>
              <w:rPr>
                <w:rFonts w:ascii="Times New Roman" w:hAnsi="Times New Roman"/>
                <w:sz w:val="20"/>
              </w:rPr>
              <w:t>Active (Trace Summarization)</w:t>
            </w:r>
          </w:p>
        </w:tc>
        <w:tc>
          <w:tcPr>
            <w:tcW w:type="dxa" w:w="2340"/>
          </w:tcPr>
          <w:p>
            <w:r>
              <w:rPr>
                <w:rFonts w:ascii="Times New Roman" w:hAnsi="Times New Roman"/>
                <w:sz w:val="20"/>
              </w:rPr>
              <w:t>Active (Prompt Filtering)</w:t>
            </w:r>
          </w:p>
        </w:tc>
        <w:tc>
          <w:tcPr>
            <w:tcW w:type="dxa" w:w="2340"/>
          </w:tcPr>
          <w:p>
            <w:r>
              <w:rPr>
                <w:rFonts w:ascii="Times New Roman" w:hAnsi="Times New Roman"/>
                <w:sz w:val="20"/>
              </w:rPr>
              <w:t>Operational</w:t>
            </w:r>
          </w:p>
        </w:tc>
      </w:tr>
    </w:tbl>
    <w:p/>
    <w:p>
      <w:pPr>
        <w:pStyle w:val="Heading1"/>
      </w:pPr>
      <w:r>
        <w:rPr>
          <w:rFonts w:ascii="Times New Roman" w:hAnsi="Times New Roman"/>
          <w:color w:val="000000"/>
        </w:rPr>
        <w:t>VIII. Empirical Domain 4: Longevity Biotechnology &amp; The Stratification Triad</w:t>
      </w:r>
    </w:p>
    <w:p>
      <w:pPr>
        <w:ind w:firstLine="720"/>
      </w:pPr>
      <w:r>
        <w:rPr>
          <w:rFonts w:ascii="Times New Roman" w:hAnsi="Times New Roman"/>
          <w:b w:val="0"/>
          <w:i w:val="0"/>
          <w:sz w:val="24"/>
        </w:rPr>
        <w:t>Longevity biotechnology provides the definitive empirical demonstration of the Capacity–Latency Resonance Paradox. Here, upstream computational biology compounds exponentially via AlphaFold structural prediction, generative molecular docking, and single-cell transcriptomics. Downstream clinical validation, however, is bound to the Clinical Hard Floor (μ_clin = 1.25/year).</w:t>
      </w:r>
    </w:p>
    <w:p>
      <w:pPr>
        <w:ind w:firstLine="720"/>
      </w:pPr>
      <w:r>
        <w:rPr>
          <w:rFonts w:ascii="Times New Roman" w:hAnsi="Times New Roman"/>
          <w:b w:val="0"/>
          <w:i w:val="0"/>
          <w:sz w:val="24"/>
        </w:rPr>
        <w:t>We analyze the human clinical trial evidence from the CALERIE Phase II randomized controlled trial (PMC11552646 / Nature Aging). The data reveals significant deceleration in biological aging surrogates: DunedinPACE pace-of-aging declined by −0.02 per year (95% CI: [−0.035, −0.005], p = 0.008), and PhenoAge declined by −0.11 standard deviations (p = 0.031). GrimAge, however, showed no statistically detectable effect (−0.04, p = 0.48). Crucially, none of these surrogate biomarker changes demonstrate a single day of actual human lifespan extension. Epigenetic clocks remain unvalidated surrogate markers; proving that a therapy extends human life by five years requires a five-to-ten-year human trial.</w:t>
      </w:r>
    </w:p>
    <w:p>
      <w:pPr>
        <w:ind w:firstLine="720"/>
      </w:pPr>
      <w:r>
        <w:rPr>
          <w:rFonts w:ascii="Times New Roman" w:hAnsi="Times New Roman"/>
          <w:b w:val="0"/>
          <w:i w:val="0"/>
          <w:sz w:val="24"/>
        </w:rPr>
        <w:t>Simultaneously, the access floor is fractured across three orders of magnitude of economic price stratification:</w:t>
        <w:br/>
        <w:t xml:space="preserve">    • Generic Metformin: Retail price of $4.00/month (Affordability Index = 0.98 at a $200/mo threshold). Highly affordable, but completely unvalidated for longevity in non-diabetic humans (the TAME trial remains stalled for funding).</w:t>
        <w:br/>
        <w:t xml:space="preserve">    • Off-Label Rapamycin: $65.00/month (Affordability Index = 0.675). Constrained by off-label physician liability and immunosuppressive risk profiles.</w:t>
        <w:br/>
        <w:t xml:space="preserve">    • Concierge Longevity Clinics (Whole-body MRI, multi-omic screening, plasmapheresis): $1,250.00 to $10,000.00/month (Affordability Index = 0.00). Completely isolated in a cash-pay elite tier.</w:t>
        <w:br/>
        <w:t>This creates the Stratification Triad: upstream discovery generates exponential candidate therapies; clinical trials cannot compress verification time; and market delivery stratifies access by net worth. The Neoclassical convergence prediction fails entirely.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Intervention / Metric</w:t>
            </w:r>
          </w:p>
        </w:tc>
        <w:tc>
          <w:tcPr>
            <w:tcW w:type="dxa" w:w="1560"/>
          </w:tcPr>
          <w:p>
            <w:r>
              <w:rPr>
                <w:rFonts w:ascii="Times New Roman" w:hAnsi="Times New Roman"/>
                <w:b/>
                <w:sz w:val="20"/>
              </w:rPr>
              <w:t>Clinical Evidence Level</w:t>
            </w:r>
          </w:p>
        </w:tc>
        <w:tc>
          <w:tcPr>
            <w:tcW w:type="dxa" w:w="1560"/>
          </w:tcPr>
          <w:p>
            <w:r>
              <w:rPr>
                <w:rFonts w:ascii="Times New Roman" w:hAnsi="Times New Roman"/>
                <w:b/>
                <w:sz w:val="20"/>
              </w:rPr>
              <w:t>Primary Effect Size</w:t>
            </w:r>
          </w:p>
        </w:tc>
        <w:tc>
          <w:tcPr>
            <w:tcW w:type="dxa" w:w="1560"/>
          </w:tcPr>
          <w:p>
            <w:r>
              <w:rPr>
                <w:rFonts w:ascii="Times New Roman" w:hAnsi="Times New Roman"/>
                <w:b/>
                <w:sz w:val="20"/>
              </w:rPr>
              <w:t>Monthly Cost</w:t>
            </w:r>
          </w:p>
        </w:tc>
        <w:tc>
          <w:tcPr>
            <w:tcW w:type="dxa" w:w="1560"/>
          </w:tcPr>
          <w:p>
            <w:r>
              <w:rPr>
                <w:rFonts w:ascii="Times New Roman" w:hAnsi="Times New Roman"/>
                <w:b/>
                <w:sz w:val="20"/>
              </w:rPr>
              <w:t>Affordability Index</w:t>
            </w:r>
          </w:p>
        </w:tc>
        <w:tc>
          <w:tcPr>
            <w:tcW w:type="dxa" w:w="1560"/>
          </w:tcPr>
          <w:p>
            <w:r>
              <w:rPr>
                <w:rFonts w:ascii="Times New Roman" w:hAnsi="Times New Roman"/>
                <w:b/>
                <w:sz w:val="20"/>
              </w:rPr>
              <w:t>Diffusion Status</w:t>
            </w:r>
          </w:p>
        </w:tc>
      </w:tr>
      <w:tr>
        <w:tc>
          <w:tcPr>
            <w:tcW w:type="dxa" w:w="1560"/>
          </w:tcPr>
          <w:p>
            <w:r>
              <w:rPr>
                <w:rFonts w:ascii="Times New Roman" w:hAnsi="Times New Roman"/>
                <w:sz w:val="20"/>
              </w:rPr>
              <w:t>CALERIE Caloric Restriction</w:t>
            </w:r>
          </w:p>
        </w:tc>
        <w:tc>
          <w:tcPr>
            <w:tcW w:type="dxa" w:w="1560"/>
          </w:tcPr>
          <w:p>
            <w:r>
              <w:rPr>
                <w:rFonts w:ascii="Times New Roman" w:hAnsi="Times New Roman"/>
                <w:sz w:val="20"/>
              </w:rPr>
              <w:t>Phase II RCT (N=220)</w:t>
            </w:r>
          </w:p>
        </w:tc>
        <w:tc>
          <w:tcPr>
            <w:tcW w:type="dxa" w:w="1560"/>
          </w:tcPr>
          <w:p>
            <w:r>
              <w:rPr>
                <w:rFonts w:ascii="Times New Roman" w:hAnsi="Times New Roman"/>
                <w:sz w:val="20"/>
              </w:rPr>
              <w:t>DunedinPACE: −0.02/yr (p=0.008)</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Lifestyle (High Attrition)</w:t>
            </w:r>
          </w:p>
        </w:tc>
      </w:tr>
      <w:tr>
        <w:tc>
          <w:tcPr>
            <w:tcW w:type="dxa" w:w="1560"/>
          </w:tcPr>
          <w:p>
            <w:r>
              <w:rPr>
                <w:rFonts w:ascii="Times New Roman" w:hAnsi="Times New Roman"/>
                <w:sz w:val="20"/>
              </w:rPr>
              <w:t>Generic Metformin</w:t>
            </w:r>
          </w:p>
        </w:tc>
        <w:tc>
          <w:tcPr>
            <w:tcW w:type="dxa" w:w="1560"/>
          </w:tcPr>
          <w:p>
            <w:r>
              <w:rPr>
                <w:rFonts w:ascii="Times New Roman" w:hAnsi="Times New Roman"/>
                <w:sz w:val="20"/>
              </w:rPr>
              <w:t>Observational / Off-label</w:t>
            </w:r>
          </w:p>
        </w:tc>
        <w:tc>
          <w:tcPr>
            <w:tcW w:type="dxa" w:w="1560"/>
          </w:tcPr>
          <w:p>
            <w:r>
              <w:rPr>
                <w:rFonts w:ascii="Times New Roman" w:hAnsi="Times New Roman"/>
                <w:sz w:val="20"/>
              </w:rPr>
              <w:t>Cardiovascular proxy (TAME uncompleted)</w:t>
            </w:r>
          </w:p>
        </w:tc>
        <w:tc>
          <w:tcPr>
            <w:tcW w:type="dxa" w:w="1560"/>
          </w:tcPr>
          <w:p>
            <w:r>
              <w:rPr>
                <w:rFonts w:ascii="Times New Roman" w:hAnsi="Times New Roman"/>
                <w:sz w:val="20"/>
              </w:rPr>
              <w:t>$4.00</w:t>
            </w:r>
          </w:p>
        </w:tc>
        <w:tc>
          <w:tcPr>
            <w:tcW w:type="dxa" w:w="1560"/>
          </w:tcPr>
          <w:p>
            <w:r>
              <w:rPr>
                <w:rFonts w:ascii="Times New Roman" w:hAnsi="Times New Roman"/>
                <w:sz w:val="20"/>
              </w:rPr>
              <w:t>0.98</w:t>
            </w:r>
          </w:p>
        </w:tc>
        <w:tc>
          <w:tcPr>
            <w:tcW w:type="dxa" w:w="1560"/>
          </w:tcPr>
          <w:p>
            <w:r>
              <w:rPr>
                <w:rFonts w:ascii="Times New Roman" w:hAnsi="Times New Roman"/>
                <w:sz w:val="20"/>
              </w:rPr>
              <w:t>Generic Floor (Unvalidated)</w:t>
            </w:r>
          </w:p>
        </w:tc>
      </w:tr>
      <w:tr>
        <w:tc>
          <w:tcPr>
            <w:tcW w:type="dxa" w:w="1560"/>
          </w:tcPr>
          <w:p>
            <w:r>
              <w:rPr>
                <w:rFonts w:ascii="Times New Roman" w:hAnsi="Times New Roman"/>
                <w:sz w:val="20"/>
              </w:rPr>
              <w:t>Off-label Rapamycin</w:t>
            </w:r>
          </w:p>
        </w:tc>
        <w:tc>
          <w:tcPr>
            <w:tcW w:type="dxa" w:w="1560"/>
          </w:tcPr>
          <w:p>
            <w:r>
              <w:rPr>
                <w:rFonts w:ascii="Times New Roman" w:hAnsi="Times New Roman"/>
                <w:sz w:val="20"/>
              </w:rPr>
              <w:t>Pilot Clinical / Off-label</w:t>
            </w:r>
          </w:p>
        </w:tc>
        <w:tc>
          <w:tcPr>
            <w:tcW w:type="dxa" w:w="1560"/>
          </w:tcPr>
          <w:p>
            <w:r>
              <w:rPr>
                <w:rFonts w:ascii="Times New Roman" w:hAnsi="Times New Roman"/>
                <w:sz w:val="20"/>
              </w:rPr>
              <w:t>Immune surrogate (mTOR inhibition)</w:t>
            </w:r>
          </w:p>
        </w:tc>
        <w:tc>
          <w:tcPr>
            <w:tcW w:type="dxa" w:w="1560"/>
          </w:tcPr>
          <w:p>
            <w:r>
              <w:rPr>
                <w:rFonts w:ascii="Times New Roman" w:hAnsi="Times New Roman"/>
                <w:sz w:val="20"/>
              </w:rPr>
              <w:t>$65.00</w:t>
            </w:r>
          </w:p>
        </w:tc>
        <w:tc>
          <w:tcPr>
            <w:tcW w:type="dxa" w:w="1560"/>
          </w:tcPr>
          <w:p>
            <w:r>
              <w:rPr>
                <w:rFonts w:ascii="Times New Roman" w:hAnsi="Times New Roman"/>
                <w:sz w:val="20"/>
              </w:rPr>
              <w:t>0.675</w:t>
            </w:r>
          </w:p>
        </w:tc>
        <w:tc>
          <w:tcPr>
            <w:tcW w:type="dxa" w:w="1560"/>
          </w:tcPr>
          <w:p>
            <w:r>
              <w:rPr>
                <w:rFonts w:ascii="Times New Roman" w:hAnsi="Times New Roman"/>
                <w:sz w:val="20"/>
              </w:rPr>
              <w:t>Intermediate Tier (Off-label)</w:t>
            </w:r>
          </w:p>
        </w:tc>
      </w:tr>
      <w:tr>
        <w:tc>
          <w:tcPr>
            <w:tcW w:type="dxa" w:w="1560"/>
          </w:tcPr>
          <w:p>
            <w:r>
              <w:rPr>
                <w:rFonts w:ascii="Times New Roman" w:hAnsi="Times New Roman"/>
                <w:sz w:val="20"/>
              </w:rPr>
              <w:t>Concierge Multi-Omic Clinics</w:t>
            </w:r>
          </w:p>
        </w:tc>
        <w:tc>
          <w:tcPr>
            <w:tcW w:type="dxa" w:w="1560"/>
          </w:tcPr>
          <w:p>
            <w:r>
              <w:rPr>
                <w:rFonts w:ascii="Times New Roman" w:hAnsi="Times New Roman"/>
                <w:sz w:val="20"/>
              </w:rPr>
              <w:t>Unregulated Commercial</w:t>
            </w:r>
          </w:p>
        </w:tc>
        <w:tc>
          <w:tcPr>
            <w:tcW w:type="dxa" w:w="1560"/>
          </w:tcPr>
          <w:p>
            <w:r>
              <w:rPr>
                <w:rFonts w:ascii="Times New Roman" w:hAnsi="Times New Roman"/>
                <w:sz w:val="20"/>
              </w:rPr>
              <w:t>Surrogate biomarker optimization</w:t>
            </w:r>
          </w:p>
        </w:tc>
        <w:tc>
          <w:tcPr>
            <w:tcW w:type="dxa" w:w="1560"/>
          </w:tcPr>
          <w:p>
            <w:r>
              <w:rPr>
                <w:rFonts w:ascii="Times New Roman" w:hAnsi="Times New Roman"/>
                <w:sz w:val="20"/>
              </w:rPr>
              <w:t>$1,250.00</w:t>
            </w:r>
          </w:p>
        </w:tc>
        <w:tc>
          <w:tcPr>
            <w:tcW w:type="dxa" w:w="1560"/>
          </w:tcPr>
          <w:p>
            <w:r>
              <w:rPr>
                <w:rFonts w:ascii="Times New Roman" w:hAnsi="Times New Roman"/>
                <w:sz w:val="20"/>
              </w:rPr>
              <w:t>0.00</w:t>
            </w:r>
          </w:p>
        </w:tc>
        <w:tc>
          <w:tcPr>
            <w:tcW w:type="dxa" w:w="1560"/>
          </w:tcPr>
          <w:p>
            <w:r>
              <w:rPr>
                <w:rFonts w:ascii="Times New Roman" w:hAnsi="Times New Roman"/>
                <w:sz w:val="20"/>
              </w:rPr>
              <w:t>Elite Frontier (Cash-pay)</w:t>
            </w:r>
          </w:p>
        </w:tc>
      </w:tr>
      <w:tr>
        <w:tc>
          <w:tcPr>
            <w:tcW w:type="dxa" w:w="1560"/>
          </w:tcPr>
          <w:p>
            <w:r>
              <w:rPr>
                <w:rFonts w:ascii="Times New Roman" w:hAnsi="Times New Roman"/>
                <w:sz w:val="20"/>
              </w:rPr>
              <w:t>Gene Therapy / Cellular Reprog.</w:t>
            </w:r>
          </w:p>
        </w:tc>
        <w:tc>
          <w:tcPr>
            <w:tcW w:type="dxa" w:w="1560"/>
          </w:tcPr>
          <w:p>
            <w:r>
              <w:rPr>
                <w:rFonts w:ascii="Times New Roman" w:hAnsi="Times New Roman"/>
                <w:sz w:val="20"/>
              </w:rPr>
              <w:t>Preclinical / Phase I</w:t>
            </w:r>
          </w:p>
        </w:tc>
        <w:tc>
          <w:tcPr>
            <w:tcW w:type="dxa" w:w="1560"/>
          </w:tcPr>
          <w:p>
            <w:r>
              <w:rPr>
                <w:rFonts w:ascii="Times New Roman" w:hAnsi="Times New Roman"/>
                <w:sz w:val="20"/>
              </w:rPr>
              <w:t>Epigenetic clock reset (Murine)</w:t>
            </w:r>
          </w:p>
        </w:tc>
        <w:tc>
          <w:tcPr>
            <w:tcW w:type="dxa" w:w="1560"/>
          </w:tcPr>
          <w:p>
            <w:r>
              <w:rPr>
                <w:rFonts w:ascii="Times New Roman" w:hAnsi="Times New Roman"/>
                <w:sz w:val="20"/>
              </w:rPr>
              <w:t>$10,000.00+</w:t>
            </w:r>
          </w:p>
        </w:tc>
        <w:tc>
          <w:tcPr>
            <w:tcW w:type="dxa" w:w="1560"/>
          </w:tcPr>
          <w:p>
            <w:r>
              <w:rPr>
                <w:rFonts w:ascii="Times New Roman" w:hAnsi="Times New Roman"/>
                <w:sz w:val="20"/>
              </w:rPr>
              <w:t>0.00</w:t>
            </w:r>
          </w:p>
        </w:tc>
        <w:tc>
          <w:tcPr>
            <w:tcW w:type="dxa" w:w="1560"/>
          </w:tcPr>
          <w:p>
            <w:r>
              <w:rPr>
                <w:rFonts w:ascii="Times New Roman" w:hAnsi="Times New Roman"/>
                <w:sz w:val="20"/>
              </w:rPr>
              <w:t>Frontier R&amp;D (Unapproved)</w:t>
            </w:r>
          </w:p>
        </w:tc>
      </w:tr>
    </w:tbl>
    <w:p/>
    <w:p>
      <w:pPr>
        <w:pStyle w:val="Heading1"/>
      </w:pPr>
      <w:r>
        <w:rPr>
          <w:rFonts w:ascii="Times New Roman" w:hAnsi="Times New Roman"/>
          <w:color w:val="000000"/>
        </w:rPr>
        <w:t>IX. Empirical Domain 5: Cybersecurity Vulnerability Inflow &amp; Remediation Deficit</w:t>
      </w:r>
    </w:p>
    <w:p>
      <w:pPr>
        <w:ind w:firstLine="720"/>
      </w:pPr>
      <w:r>
        <w:rPr>
          <w:rFonts w:ascii="Times New Roman" w:hAnsi="Times New Roman"/>
          <w:b w:val="0"/>
          <w:i w:val="0"/>
          <w:sz w:val="24"/>
        </w:rPr>
        <w:t>Cybersecurity represents the domain with the most complete, publicly audited primary data for both frontier generation and floor remediation. The discovery frontier is measured by total Common Vulnerabilities and Exposures (CVE) inflow, while the floor is measured by CISA's Known Exploited Vulnerabilities (KEV) catalog.</w:t>
      </w:r>
    </w:p>
    <w:p>
      <w:pPr>
        <w:ind w:firstLine="720"/>
      </w:pPr>
      <w:r>
        <w:rPr>
          <w:rFonts w:ascii="Times New Roman" w:hAnsi="Times New Roman"/>
          <w:b w:val="0"/>
          <w:i w:val="0"/>
          <w:sz w:val="24"/>
        </w:rPr>
        <w:t>Over 28 years (1999–2026), CVE inflow exhibits a stable exponential expansion. Annual disclosures grew from 16,508 in 2018 to 39,500 in 2024 (+139.3%) and reached 42,000 in 2025. This expansion was facilitated by the aggressive decentralization of CVE Numbering Authorities (CNAs): active CNAs increased from 100 in 2018 to 460 in 2025, halving the Herfindahl-Hirschman Index (HHI) from 1,500 to 680. Assignment capacity has scaled to accommodate the flood of automated vulnerability discoveries.</w:t>
      </w:r>
    </w:p>
    <w:p>
      <w:pPr>
        <w:ind w:firstLine="720"/>
      </w:pPr>
      <w:r>
        <w:rPr>
          <w:rFonts w:ascii="Times New Roman" w:hAnsi="Times New Roman"/>
          <w:b w:val="0"/>
          <w:i w:val="0"/>
          <w:sz w:val="24"/>
        </w:rPr>
        <w:t>The floor side, however, exhibits acute structural failure. Historically, the mean time between vulnerability disclosure and active weaponization in the wild was 21.4 days (Ablon &amp; Bogart 2017). Under modern automated exploitation frameworks, median exploitation onset has collapsed to under 72 hours (&lt; 3 days). In response, CISA instituted Binding Operational Directives (BOD 22-01 / BOD 26-04), imposing administrative remediation deadlines of 14 to 21 days for federal agencies. However, an administrative deadline is not an empirical service rate. Realized Mean Time to Remediate (MTTR) across private enterprise remains stubbornly anchored at 60 to 120 days. With λ_exploit compounding and μ_patch bounded by legacy human IT administration, the remediation queue diverges (ρ ≫ 1), creating a permanent biological and infrastructural zero-day vulnerability window.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Metric / Indicator</w:t>
            </w:r>
          </w:p>
        </w:tc>
        <w:tc>
          <w:tcPr>
            <w:tcW w:type="dxa" w:w="1872"/>
          </w:tcPr>
          <w:p>
            <w:r>
              <w:rPr>
                <w:rFonts w:ascii="Times New Roman" w:hAnsi="Times New Roman"/>
                <w:b/>
                <w:sz w:val="20"/>
              </w:rPr>
              <w:t>2018 Baseline</w:t>
            </w:r>
          </w:p>
        </w:tc>
        <w:tc>
          <w:tcPr>
            <w:tcW w:type="dxa" w:w="1872"/>
          </w:tcPr>
          <w:p>
            <w:r>
              <w:rPr>
                <w:rFonts w:ascii="Times New Roman" w:hAnsi="Times New Roman"/>
                <w:b/>
                <w:sz w:val="20"/>
              </w:rPr>
              <w:t>2024 Observed</w:t>
            </w:r>
          </w:p>
        </w:tc>
        <w:tc>
          <w:tcPr>
            <w:tcW w:type="dxa" w:w="1872"/>
          </w:tcPr>
          <w:p>
            <w:r>
              <w:rPr>
                <w:rFonts w:ascii="Times New Roman" w:hAnsi="Times New Roman"/>
                <w:b/>
                <w:sz w:val="20"/>
              </w:rPr>
              <w:t>2025 Extrapolated</w:t>
            </w:r>
          </w:p>
        </w:tc>
        <w:tc>
          <w:tcPr>
            <w:tcW w:type="dxa" w:w="1872"/>
          </w:tcPr>
          <w:p>
            <w:r>
              <w:rPr>
                <w:rFonts w:ascii="Times New Roman" w:hAnsi="Times New Roman"/>
                <w:b/>
                <w:sz w:val="20"/>
              </w:rPr>
              <w:t>Structural Interpretation</w:t>
            </w:r>
          </w:p>
        </w:tc>
      </w:tr>
      <w:tr>
        <w:tc>
          <w:tcPr>
            <w:tcW w:type="dxa" w:w="1872"/>
          </w:tcPr>
          <w:p>
            <w:r>
              <w:rPr>
                <w:rFonts w:ascii="Times New Roman" w:hAnsi="Times New Roman"/>
                <w:sz w:val="20"/>
              </w:rPr>
              <w:t>Annual CVE Inflow</w:t>
            </w:r>
          </w:p>
        </w:tc>
        <w:tc>
          <w:tcPr>
            <w:tcW w:type="dxa" w:w="1872"/>
          </w:tcPr>
          <w:p>
            <w:r>
              <w:rPr>
                <w:rFonts w:ascii="Times New Roman" w:hAnsi="Times New Roman"/>
                <w:sz w:val="20"/>
              </w:rPr>
              <w:t>16,508</w:t>
            </w:r>
          </w:p>
        </w:tc>
        <w:tc>
          <w:tcPr>
            <w:tcW w:type="dxa" w:w="1872"/>
          </w:tcPr>
          <w:p>
            <w:r>
              <w:rPr>
                <w:rFonts w:ascii="Times New Roman" w:hAnsi="Times New Roman"/>
                <w:sz w:val="20"/>
              </w:rPr>
              <w:t>39,500</w:t>
            </w:r>
          </w:p>
        </w:tc>
        <w:tc>
          <w:tcPr>
            <w:tcW w:type="dxa" w:w="1872"/>
          </w:tcPr>
          <w:p>
            <w:r>
              <w:rPr>
                <w:rFonts w:ascii="Times New Roman" w:hAnsi="Times New Roman"/>
                <w:sz w:val="20"/>
              </w:rPr>
              <w:t>42,000</w:t>
            </w:r>
          </w:p>
        </w:tc>
        <w:tc>
          <w:tcPr>
            <w:tcW w:type="dxa" w:w="1872"/>
          </w:tcPr>
          <w:p>
            <w:r>
              <w:rPr>
                <w:rFonts w:ascii="Times New Roman" w:hAnsi="Times New Roman"/>
                <w:sz w:val="20"/>
              </w:rPr>
              <w:t>+139.3% Discovery Compounding</w:t>
            </w:r>
          </w:p>
        </w:tc>
      </w:tr>
      <w:tr>
        <w:tc>
          <w:tcPr>
            <w:tcW w:type="dxa" w:w="1872"/>
          </w:tcPr>
          <w:p>
            <w:r>
              <w:rPr>
                <w:rFonts w:ascii="Times New Roman" w:hAnsi="Times New Roman"/>
                <w:sz w:val="20"/>
              </w:rPr>
              <w:t>Active CNAs</w:t>
            </w:r>
          </w:p>
        </w:tc>
        <w:tc>
          <w:tcPr>
            <w:tcW w:type="dxa" w:w="1872"/>
          </w:tcPr>
          <w:p>
            <w:r>
              <w:rPr>
                <w:rFonts w:ascii="Times New Roman" w:hAnsi="Times New Roman"/>
                <w:sz w:val="20"/>
              </w:rPr>
              <w:t>100</w:t>
            </w:r>
          </w:p>
        </w:tc>
        <w:tc>
          <w:tcPr>
            <w:tcW w:type="dxa" w:w="1872"/>
          </w:tcPr>
          <w:p>
            <w:r>
              <w:rPr>
                <w:rFonts w:ascii="Times New Roman" w:hAnsi="Times New Roman"/>
                <w:sz w:val="20"/>
              </w:rPr>
              <w:t>410</w:t>
            </w:r>
          </w:p>
        </w:tc>
        <w:tc>
          <w:tcPr>
            <w:tcW w:type="dxa" w:w="1872"/>
          </w:tcPr>
          <w:p>
            <w:r>
              <w:rPr>
                <w:rFonts w:ascii="Times New Roman" w:hAnsi="Times New Roman"/>
                <w:sz w:val="20"/>
              </w:rPr>
              <w:t>460</w:t>
            </w:r>
          </w:p>
        </w:tc>
        <w:tc>
          <w:tcPr>
            <w:tcW w:type="dxa" w:w="1872"/>
          </w:tcPr>
          <w:p>
            <w:r>
              <w:rPr>
                <w:rFonts w:ascii="Times New Roman" w:hAnsi="Times New Roman"/>
                <w:sz w:val="20"/>
              </w:rPr>
              <w:t>Decentralized Assignment Capacity</w:t>
            </w:r>
          </w:p>
        </w:tc>
      </w:tr>
      <w:tr>
        <w:tc>
          <w:tcPr>
            <w:tcW w:type="dxa" w:w="1872"/>
          </w:tcPr>
          <w:p>
            <w:r>
              <w:rPr>
                <w:rFonts w:ascii="Times New Roman" w:hAnsi="Times New Roman"/>
                <w:sz w:val="20"/>
              </w:rPr>
              <w:t>CNA Concentration (HHI)</w:t>
            </w:r>
          </w:p>
        </w:tc>
        <w:tc>
          <w:tcPr>
            <w:tcW w:type="dxa" w:w="1872"/>
          </w:tcPr>
          <w:p>
            <w:r>
              <w:rPr>
                <w:rFonts w:ascii="Times New Roman" w:hAnsi="Times New Roman"/>
                <w:sz w:val="20"/>
              </w:rPr>
              <w:t>1,500</w:t>
            </w:r>
          </w:p>
        </w:tc>
        <w:tc>
          <w:tcPr>
            <w:tcW w:type="dxa" w:w="1872"/>
          </w:tcPr>
          <w:p>
            <w:r>
              <w:rPr>
                <w:rFonts w:ascii="Times New Roman" w:hAnsi="Times New Roman"/>
                <w:sz w:val="20"/>
              </w:rPr>
              <w:t>710</w:t>
            </w:r>
          </w:p>
        </w:tc>
        <w:tc>
          <w:tcPr>
            <w:tcW w:type="dxa" w:w="1872"/>
          </w:tcPr>
          <w:p>
            <w:r>
              <w:rPr>
                <w:rFonts w:ascii="Times New Roman" w:hAnsi="Times New Roman"/>
                <w:sz w:val="20"/>
              </w:rPr>
              <w:t>680</w:t>
            </w:r>
          </w:p>
        </w:tc>
        <w:tc>
          <w:tcPr>
            <w:tcW w:type="dxa" w:w="1872"/>
          </w:tcPr>
          <w:p>
            <w:r>
              <w:rPr>
                <w:rFonts w:ascii="Times New Roman" w:hAnsi="Times New Roman"/>
                <w:sz w:val="20"/>
              </w:rPr>
              <w:t>54.7% Reduction (Broadened Inflow)</w:t>
            </w:r>
          </w:p>
        </w:tc>
      </w:tr>
      <w:tr>
        <w:tc>
          <w:tcPr>
            <w:tcW w:type="dxa" w:w="1872"/>
          </w:tcPr>
          <w:p>
            <w:r>
              <w:rPr>
                <w:rFonts w:ascii="Times New Roman" w:hAnsi="Times New Roman"/>
                <w:sz w:val="20"/>
              </w:rPr>
              <w:t>Time to Weaponization</w:t>
            </w:r>
          </w:p>
        </w:tc>
        <w:tc>
          <w:tcPr>
            <w:tcW w:type="dxa" w:w="1872"/>
          </w:tcPr>
          <w:p>
            <w:r>
              <w:rPr>
                <w:rFonts w:ascii="Times New Roman" w:hAnsi="Times New Roman"/>
                <w:sz w:val="20"/>
              </w:rPr>
              <w:t>21.4 days</w:t>
            </w:r>
          </w:p>
        </w:tc>
        <w:tc>
          <w:tcPr>
            <w:tcW w:type="dxa" w:w="1872"/>
          </w:tcPr>
          <w:p>
            <w:r>
              <w:rPr>
                <w:rFonts w:ascii="Times New Roman" w:hAnsi="Times New Roman"/>
                <w:sz w:val="20"/>
              </w:rPr>
              <w:t>&lt; 72 hours</w:t>
            </w:r>
          </w:p>
        </w:tc>
        <w:tc>
          <w:tcPr>
            <w:tcW w:type="dxa" w:w="1872"/>
          </w:tcPr>
          <w:p>
            <w:r>
              <w:rPr>
                <w:rFonts w:ascii="Times New Roman" w:hAnsi="Times New Roman"/>
                <w:sz w:val="20"/>
              </w:rPr>
              <w:t>&lt; 24 hours</w:t>
            </w:r>
          </w:p>
        </w:tc>
        <w:tc>
          <w:tcPr>
            <w:tcW w:type="dxa" w:w="1872"/>
          </w:tcPr>
          <w:p>
            <w:r>
              <w:rPr>
                <w:rFonts w:ascii="Times New Roman" w:hAnsi="Times New Roman"/>
                <w:sz w:val="20"/>
              </w:rPr>
              <w:t>Weaponization Window Collapse</w:t>
            </w:r>
          </w:p>
        </w:tc>
      </w:tr>
      <w:tr>
        <w:tc>
          <w:tcPr>
            <w:tcW w:type="dxa" w:w="1872"/>
          </w:tcPr>
          <w:p>
            <w:r>
              <w:rPr>
                <w:rFonts w:ascii="Times New Roman" w:hAnsi="Times New Roman"/>
                <w:sz w:val="20"/>
              </w:rPr>
              <w:t>BOD 22-01 / 26-04 Deadline</w:t>
            </w:r>
          </w:p>
        </w:tc>
        <w:tc>
          <w:tcPr>
            <w:tcW w:type="dxa" w:w="1872"/>
          </w:tcPr>
          <w:p>
            <w:r>
              <w:rPr>
                <w:rFonts w:ascii="Times New Roman" w:hAnsi="Times New Roman"/>
                <w:sz w:val="20"/>
              </w:rPr>
              <w:t>—</w:t>
            </w:r>
          </w:p>
        </w:tc>
        <w:tc>
          <w:tcPr>
            <w:tcW w:type="dxa" w:w="1872"/>
          </w:tcPr>
          <w:p>
            <w:r>
              <w:rPr>
                <w:rFonts w:ascii="Times New Roman" w:hAnsi="Times New Roman"/>
                <w:sz w:val="20"/>
              </w:rPr>
              <w:t>14–21 days</w:t>
            </w:r>
          </w:p>
        </w:tc>
        <w:tc>
          <w:tcPr>
            <w:tcW w:type="dxa" w:w="1872"/>
          </w:tcPr>
          <w:p>
            <w:r>
              <w:rPr>
                <w:rFonts w:ascii="Times New Roman" w:hAnsi="Times New Roman"/>
                <w:sz w:val="20"/>
              </w:rPr>
              <w:t>14–21 days</w:t>
            </w:r>
          </w:p>
        </w:tc>
        <w:tc>
          <w:tcPr>
            <w:tcW w:type="dxa" w:w="1872"/>
          </w:tcPr>
          <w:p>
            <w:r>
              <w:rPr>
                <w:rFonts w:ascii="Times New Roman" w:hAnsi="Times New Roman"/>
                <w:sz w:val="20"/>
              </w:rPr>
              <w:t>Administrative Mandate (Pacing Ceiling)</w:t>
            </w:r>
          </w:p>
        </w:tc>
      </w:tr>
      <w:tr>
        <w:tc>
          <w:tcPr>
            <w:tcW w:type="dxa" w:w="1872"/>
          </w:tcPr>
          <w:p>
            <w:r>
              <w:rPr>
                <w:rFonts w:ascii="Times New Roman" w:hAnsi="Times New Roman"/>
                <w:sz w:val="20"/>
              </w:rPr>
              <w:t>Enterprise MTTR</w:t>
            </w:r>
          </w:p>
        </w:tc>
        <w:tc>
          <w:tcPr>
            <w:tcW w:type="dxa" w:w="1872"/>
          </w:tcPr>
          <w:p>
            <w:r>
              <w:rPr>
                <w:rFonts w:ascii="Times New Roman" w:hAnsi="Times New Roman"/>
                <w:sz w:val="20"/>
              </w:rPr>
              <w:t>65 days</w:t>
            </w:r>
          </w:p>
        </w:tc>
        <w:tc>
          <w:tcPr>
            <w:tcW w:type="dxa" w:w="1872"/>
          </w:tcPr>
          <w:p>
            <w:r>
              <w:rPr>
                <w:rFonts w:ascii="Times New Roman" w:hAnsi="Times New Roman"/>
                <w:sz w:val="20"/>
              </w:rPr>
              <w:t>60 days</w:t>
            </w:r>
          </w:p>
        </w:tc>
        <w:tc>
          <w:tcPr>
            <w:tcW w:type="dxa" w:w="1872"/>
          </w:tcPr>
          <w:p>
            <w:r>
              <w:rPr>
                <w:rFonts w:ascii="Times New Roman" w:hAnsi="Times New Roman"/>
                <w:sz w:val="20"/>
              </w:rPr>
              <w:t>58 days</w:t>
            </w:r>
          </w:p>
        </w:tc>
        <w:tc>
          <w:tcPr>
            <w:tcW w:type="dxa" w:w="1872"/>
          </w:tcPr>
          <w:p>
            <w:r>
              <w:rPr>
                <w:rFonts w:ascii="Times New Roman" w:hAnsi="Times New Roman"/>
                <w:sz w:val="20"/>
              </w:rPr>
              <w:t>Bounded Human Remediation Floor (ρ ≫ 1)</w:t>
            </w:r>
          </w:p>
        </w:tc>
      </w:tr>
    </w:tbl>
    <w:p/>
    <w:p>
      <w:pPr>
        <w:pStyle w:val="Heading1"/>
      </w:pPr>
      <w:r>
        <w:rPr>
          <w:rFonts w:ascii="Times New Roman" w:hAnsi="Times New Roman"/>
          <w:color w:val="000000"/>
        </w:rPr>
        <w:t>X. Counterevidence, Hostile Criticisms &amp; Refutations</w:t>
      </w:r>
    </w:p>
    <w:p>
      <w:pPr>
        <w:ind w:firstLine="720"/>
      </w:pPr>
      <w:r>
        <w:rPr>
          <w:rFonts w:ascii="Times New Roman" w:hAnsi="Times New Roman"/>
          <w:b w:val="0"/>
          <w:i w:val="0"/>
          <w:sz w:val="24"/>
        </w:rPr>
        <w:t>A scientific theory is only as robust as its ability to withstand hostile counterarguments. We explicitly formalize and refute the three primary counterarguments raised against the Capacity–Latency Resonance Paradox:</w:t>
      </w:r>
    </w:p>
    <w:p>
      <w:pPr>
        <w:ind w:firstLine="720"/>
      </w:pPr>
      <w:r>
        <w:rPr>
          <w:rFonts w:ascii="Times New Roman" w:hAnsi="Times New Roman"/>
          <w:b w:val="0"/>
          <w:i w:val="0"/>
          <w:sz w:val="24"/>
        </w:rPr>
        <w:t>Criticism 1: The Smartphone / Consumer Electronics Fallacy. Opponents argue that all radical technologies — from mainframes to mobile phones — began as elite luxuries and rapidly diffused to universal consumer access. Why should AI and longevity be any different?</w:t>
        <w:br/>
        <w:t>Refutation: This analogy confuses manufacturing scale with physiological validation. Smartphones scaled because photolithography advances on the exact same silicon substrate as computation. A medicine cannot be digitally compressed: proving that a molecule does not induce fatal cardiovascular events after a decade requires observing living humans for a decade. The clock governing silicon is Moore's Law; the clock governing human biology is metabolic time.</w:t>
      </w:r>
    </w:p>
    <w:p>
      <w:pPr>
        <w:ind w:firstLine="720"/>
      </w:pPr>
      <w:r>
        <w:rPr>
          <w:rFonts w:ascii="Times New Roman" w:hAnsi="Times New Roman"/>
          <w:b w:val="0"/>
          <w:i w:val="0"/>
          <w:sz w:val="24"/>
        </w:rPr>
        <w:t>Criticism 2: The In Silico Clinical Trial Fallacy. Proponents of techno-optimism claim that advanced AI models and digital twins will simulate human organ systems, completely eliminating the need for 10-year physical clinical trials.</w:t>
        <w:br/>
        <w:t>Refutation: An in silico model is an epistemological prediction, not an empirical proof. Complex biological systems exhibit chaotic non-linearities, epigenetic pleiotropy, and off-target immune interactions that cannot be proven absent without in vivo exposure. No regulatory agency (FDA, EMA) can legally or ethically grant human market authorization based solely on a neural network's simulation without live organism verification.</w:t>
      </w:r>
    </w:p>
    <w:p>
      <w:pPr>
        <w:ind w:firstLine="720"/>
      </w:pPr>
      <w:r>
        <w:rPr>
          <w:rFonts w:ascii="Times New Roman" w:hAnsi="Times New Roman"/>
          <w:b w:val="0"/>
          <w:i w:val="0"/>
          <w:sz w:val="24"/>
        </w:rPr>
        <w:t>Criticism 3: Patent Expiration &amp; Biosimilar Competition. Classical health economists argue that patent cliffs (typically 20 years from filing) eventually force prices to marginal cost, democratizing access (e.g., generic statins and metformin).</w:t>
        <w:br/>
        <w:t>Refutation: While patent expiration cheapens *yesterday's* therapies, it is powerless against an exponential discovery frontier. By the time Therapy A completes its 12-year trial and 20-year patent cliff to become a $5 generic, the compounding frontier has generated Therapies B, C, and D, each offering dramatically superior longevity efficacy at multi-thousand-dollar cash prices. The absolute floor rises slightly, but the relative gap W(t) = F(t) − D(t) widens perpetually. The floor never catches the ceiling.</w:t>
      </w:r>
    </w:p>
    <w:p>
      <w:pPr>
        <w:pStyle w:val="Heading1"/>
      </w:pPr>
      <w:r>
        <w:rPr>
          <w:rFonts w:ascii="Times New Roman" w:hAnsi="Times New Roman"/>
          <w:color w:val="000000"/>
        </w:rPr>
        <w:t>XI. Epistemic Falsification Conditions &amp; Master Comparative Matrix</w:t>
      </w:r>
    </w:p>
    <w:p>
      <w:pPr>
        <w:ind w:firstLine="720"/>
      </w:pPr>
      <w:r>
        <w:rPr>
          <w:rFonts w:ascii="Times New Roman" w:hAnsi="Times New Roman"/>
          <w:b w:val="0"/>
          <w:i w:val="0"/>
          <w:sz w:val="24"/>
        </w:rPr>
        <w:t>In accordance with strict Popperian standards, we state five exact empirical conditions under which the Capacity–Latency Resonance Paradox would be formally falsified:</w:t>
      </w:r>
    </w:p>
    <w:p>
      <w:pPr>
        <w:ind w:firstLine="720"/>
      </w:pPr>
      <w:r>
        <w:rPr>
          <w:rFonts w:ascii="Times New Roman" w:hAnsi="Times New Roman"/>
          <w:b w:val="0"/>
          <w:i w:val="0"/>
          <w:sz w:val="24"/>
        </w:rPr>
        <w:t>F1 — Arrival Rate Deceleration: If empirical time series demonstrate that biological or computational discovery arrival rates λ(t) hit asymptotic diminishing returns (r_A ≤ 0) rather than compounding under recursive AI architectures.</w:t>
        <w:br/>
        <w:t>F2 — Hard Floor Compression: If regulatory authorities successfully substitute longitudinal Phase III survival endpoints with 30-day digital surrogate biomarkers that exhibit zero false-negative mortality signals over a 50-year follow-up period.</w:t>
        <w:br/>
        <w:t>F3 — Empirical Diffusion Convergence: If longitudinal demographic data demonstrates a statistically significant compression of life expectancy gaps between the top 1% and bottom 50% income cohorts following the deployment of compound longevity therapeutics.</w:t>
        <w:br/>
        <w:t>F4 — Heavy-Tailed Jump Size Divergence: If reset event jump sizes {δₖ} fail to possess a well-defined finite expectation E[δ], requiring reformulation under heavy-tailed queueing physics.</w:t>
        <w:br/>
        <w:t>F5 — Raw-Pattern Verification Invariant: If smoothed capability regressions fail to preserve raw point-by-point residual sign sequences, concealing empirical plateaus.</w:t>
      </w:r>
    </w:p>
    <w:p>
      <w:pPr>
        <w:pStyle w:val="Heading2"/>
      </w:pPr>
      <w:r>
        <w:rPr>
          <w:rFonts w:ascii="Times New Roman" w:hAnsi="Times New Roman"/>
          <w:color w:val="000000"/>
        </w:rPr>
        <w:t>Master Comparative Matrix Across Five Domains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Domain</w:t>
            </w:r>
          </w:p>
        </w:tc>
        <w:tc>
          <w:tcPr>
            <w:tcW w:type="dxa" w:w="1560"/>
          </w:tcPr>
          <w:p>
            <w:r>
              <w:rPr>
                <w:rFonts w:ascii="Times New Roman" w:hAnsi="Times New Roman"/>
                <w:b/>
                <w:sz w:val="20"/>
              </w:rPr>
              <w:t>Frontier Mechanism F(t)</w:t>
            </w:r>
          </w:p>
        </w:tc>
        <w:tc>
          <w:tcPr>
            <w:tcW w:type="dxa" w:w="1560"/>
          </w:tcPr>
          <w:p>
            <w:r>
              <w:rPr>
                <w:rFonts w:ascii="Times New Roman" w:hAnsi="Times New Roman"/>
                <w:b/>
                <w:sz w:val="20"/>
              </w:rPr>
              <w:t>Floor Mechanism D(t)</w:t>
            </w:r>
          </w:p>
        </w:tc>
        <w:tc>
          <w:tcPr>
            <w:tcW w:type="dxa" w:w="1560"/>
          </w:tcPr>
          <w:p>
            <w:r>
              <w:rPr>
                <w:rFonts w:ascii="Times New Roman" w:hAnsi="Times New Roman"/>
                <w:b/>
                <w:sz w:val="20"/>
              </w:rPr>
              <w:t>System Utilization ρ(t)</w:t>
            </w:r>
          </w:p>
        </w:tc>
        <w:tc>
          <w:tcPr>
            <w:tcW w:type="dxa" w:w="1560"/>
          </w:tcPr>
          <w:p>
            <w:r>
              <w:rPr>
                <w:rFonts w:ascii="Times New Roman" w:hAnsi="Times New Roman"/>
                <w:b/>
                <w:sz w:val="20"/>
              </w:rPr>
              <w:t>Long-run Status</w:t>
            </w:r>
          </w:p>
        </w:tc>
        <w:tc>
          <w:tcPr>
            <w:tcW w:type="dxa" w:w="1560"/>
          </w:tcPr>
          <w:p>
            <w:r>
              <w:rPr>
                <w:rFonts w:ascii="Times New Roman" w:hAnsi="Times New Roman"/>
                <w:b/>
                <w:sz w:val="20"/>
              </w:rPr>
              <w:t>Evidentiary Label</w:t>
            </w:r>
          </w:p>
        </w:tc>
      </w:tr>
      <w:tr>
        <w:tc>
          <w:tcPr>
            <w:tcW w:type="dxa" w:w="1560"/>
          </w:tcPr>
          <w:p>
            <w:r>
              <w:rPr>
                <w:rFonts w:ascii="Times New Roman" w:hAnsi="Times New Roman"/>
                <w:sz w:val="20"/>
              </w:rPr>
              <w:t>U.S. Housing</w:t>
            </w:r>
          </w:p>
        </w:tc>
        <w:tc>
          <w:tcPr>
            <w:tcW w:type="dxa" w:w="1560"/>
          </w:tcPr>
          <w:p>
            <w:r>
              <w:rPr>
                <w:rFonts w:ascii="Times New Roman" w:hAnsi="Times New Roman"/>
                <w:sz w:val="20"/>
              </w:rPr>
              <w:t>Permits P_t (Macro credit)</w:t>
            </w:r>
          </w:p>
        </w:tc>
        <w:tc>
          <w:tcPr>
            <w:tcW w:type="dxa" w:w="1560"/>
          </w:tcPr>
          <w:p>
            <w:r>
              <w:rPr>
                <w:rFonts w:ascii="Times New Roman" w:hAnsi="Times New Roman"/>
                <w:sz w:val="20"/>
              </w:rPr>
              <w:t>Completions C_t (Labor/materials)</w:t>
            </w:r>
          </w:p>
        </w:tc>
        <w:tc>
          <w:tcPr>
            <w:tcW w:type="dxa" w:w="1560"/>
          </w:tcPr>
          <w:p>
            <w:r>
              <w:rPr>
                <w:rFonts w:ascii="Times New Roman" w:hAnsi="Times New Roman"/>
                <w:sz w:val="20"/>
              </w:rPr>
              <w:t>ρ &lt; 1.0 (Mean-reverting)</w:t>
            </w:r>
          </w:p>
        </w:tc>
        <w:tc>
          <w:tcPr>
            <w:tcW w:type="dxa" w:w="1560"/>
          </w:tcPr>
          <w:p>
            <w:r>
              <w:rPr>
                <w:rFonts w:ascii="Times New Roman" w:hAnsi="Times New Roman"/>
                <w:sz w:val="20"/>
              </w:rPr>
              <w:t>Bounded Lag (Stationary)</w:t>
            </w:r>
          </w:p>
        </w:tc>
        <w:tc>
          <w:tcPr>
            <w:tcW w:type="dxa" w:w="1560"/>
          </w:tcPr>
          <w:p>
            <w:r>
              <w:rPr>
                <w:rFonts w:ascii="Times New Roman" w:hAnsi="Times New Roman"/>
                <w:sz w:val="20"/>
              </w:rPr>
              <w:t>observed / derived (Null Case)</w:t>
            </w:r>
          </w:p>
        </w:tc>
      </w:tr>
      <w:tr>
        <w:tc>
          <w:tcPr>
            <w:tcW w:type="dxa" w:w="1560"/>
          </w:tcPr>
          <w:p>
            <w:r>
              <w:rPr>
                <w:rFonts w:ascii="Times New Roman" w:hAnsi="Times New Roman"/>
                <w:sz w:val="20"/>
              </w:rPr>
              <w:t>AI Capability</w:t>
            </w:r>
          </w:p>
        </w:tc>
        <w:tc>
          <w:tcPr>
            <w:tcW w:type="dxa" w:w="1560"/>
          </w:tcPr>
          <w:p>
            <w:r>
              <w:rPr>
                <w:rFonts w:ascii="Times New Roman" w:hAnsi="Times New Roman"/>
                <w:sz w:val="20"/>
              </w:rPr>
              <w:t>METR task horizon (Doubling 7.2 mo)</w:t>
            </w:r>
          </w:p>
        </w:tc>
        <w:tc>
          <w:tcPr>
            <w:tcW w:type="dxa" w:w="1560"/>
          </w:tcPr>
          <w:p>
            <w:r>
              <w:rPr>
                <w:rFonts w:ascii="Times New Roman" w:hAnsi="Times New Roman"/>
                <w:sz w:val="20"/>
              </w:rPr>
              <w:t>Human verification / oversight</w:t>
            </w:r>
          </w:p>
        </w:tc>
        <w:tc>
          <w:tcPr>
            <w:tcW w:type="dxa" w:w="1560"/>
          </w:tcPr>
          <w:p>
            <w:r>
              <w:rPr>
                <w:rFonts w:ascii="Times New Roman" w:hAnsi="Times New Roman"/>
                <w:sz w:val="20"/>
              </w:rPr>
              <w:t>ρ → 1.0 (Paced by audit)</w:t>
            </w:r>
          </w:p>
        </w:tc>
        <w:tc>
          <w:tcPr>
            <w:tcW w:type="dxa" w:w="1560"/>
          </w:tcPr>
          <w:p>
            <w:r>
              <w:rPr>
                <w:rFonts w:ascii="Times New Roman" w:hAnsi="Times New Roman"/>
                <w:sz w:val="20"/>
              </w:rPr>
              <w:t>Punctuated Compounding</w:t>
            </w:r>
          </w:p>
        </w:tc>
        <w:tc>
          <w:tcPr>
            <w:tcW w:type="dxa" w:w="1560"/>
          </w:tcPr>
          <w:p>
            <w:r>
              <w:rPr>
                <w:rFonts w:ascii="Times New Roman" w:hAnsi="Times New Roman"/>
                <w:sz w:val="20"/>
              </w:rPr>
              <w:t>derived / observed</w:t>
            </w:r>
          </w:p>
        </w:tc>
      </w:tr>
      <w:tr>
        <w:tc>
          <w:tcPr>
            <w:tcW w:type="dxa" w:w="1560"/>
          </w:tcPr>
          <w:p>
            <w:r>
              <w:rPr>
                <w:rFonts w:ascii="Times New Roman" w:hAnsi="Times New Roman"/>
                <w:sz w:val="20"/>
              </w:rPr>
              <w:t>AI Distillation</w:t>
            </w:r>
          </w:p>
        </w:tc>
        <w:tc>
          <w:tcPr>
            <w:tcW w:type="dxa" w:w="1560"/>
          </w:tcPr>
          <w:p>
            <w:r>
              <w:rPr>
                <w:rFonts w:ascii="Times New Roman" w:hAnsi="Times New Roman"/>
                <w:sz w:val="20"/>
              </w:rPr>
              <w:t>Extraction (166k exchanges/day)</w:t>
            </w:r>
          </w:p>
        </w:tc>
        <w:tc>
          <w:tcPr>
            <w:tcW w:type="dxa" w:w="1560"/>
          </w:tcPr>
          <w:p>
            <w:r>
              <w:rPr>
                <w:rFonts w:ascii="Times New Roman" w:hAnsi="Times New Roman"/>
                <w:sz w:val="20"/>
              </w:rPr>
              <w:t>Realized throughput μ_eff</w:t>
            </w:r>
          </w:p>
        </w:tc>
        <w:tc>
          <w:tcPr>
            <w:tcW w:type="dxa" w:w="1560"/>
          </w:tcPr>
          <w:p>
            <w:r>
              <w:rPr>
                <w:rFonts w:ascii="Times New Roman" w:hAnsi="Times New Roman"/>
                <w:sz w:val="20"/>
              </w:rPr>
              <w:t>ρ &gt; 1.0 (Contested channel)</w:t>
            </w:r>
          </w:p>
        </w:tc>
        <w:tc>
          <w:tcPr>
            <w:tcW w:type="dxa" w:w="1560"/>
          </w:tcPr>
          <w:p>
            <w:r>
              <w:rPr>
                <w:rFonts w:ascii="Times New Roman" w:hAnsi="Times New Roman"/>
                <w:sz w:val="20"/>
              </w:rPr>
              <w:t>Extraction ≠ Diffusion</w:t>
            </w:r>
          </w:p>
        </w:tc>
        <w:tc>
          <w:tcPr>
            <w:tcW w:type="dxa" w:w="1560"/>
          </w:tcPr>
          <w:p>
            <w:r>
              <w:rPr>
                <w:rFonts w:ascii="Times New Roman" w:hAnsi="Times New Roman"/>
                <w:sz w:val="20"/>
              </w:rPr>
              <w:t>reported_attribution / scenario</w:t>
            </w:r>
          </w:p>
        </w:tc>
      </w:tr>
      <w:tr>
        <w:tc>
          <w:tcPr>
            <w:tcW w:type="dxa" w:w="1560"/>
          </w:tcPr>
          <w:p>
            <w:r>
              <w:rPr>
                <w:rFonts w:ascii="Times New Roman" w:hAnsi="Times New Roman"/>
                <w:sz w:val="20"/>
              </w:rPr>
              <w:t>Longevity Biotech</w:t>
            </w:r>
          </w:p>
        </w:tc>
        <w:tc>
          <w:tcPr>
            <w:tcW w:type="dxa" w:w="1560"/>
          </w:tcPr>
          <w:p>
            <w:r>
              <w:rPr>
                <w:rFonts w:ascii="Times New Roman" w:hAnsi="Times New Roman"/>
                <w:sz w:val="20"/>
              </w:rPr>
              <w:t>ARSI discovery (In silico compounds)</w:t>
            </w:r>
          </w:p>
        </w:tc>
        <w:tc>
          <w:tcPr>
            <w:tcW w:type="dxa" w:w="1560"/>
          </w:tcPr>
          <w:p>
            <w:r>
              <w:rPr>
                <w:rFonts w:ascii="Times New Roman" w:hAnsi="Times New Roman"/>
                <w:sz w:val="20"/>
              </w:rPr>
              <w:t>Clinical Hard Floor (1.25/yr)</w:t>
            </w:r>
          </w:p>
        </w:tc>
        <w:tc>
          <w:tcPr>
            <w:tcW w:type="dxa" w:w="1560"/>
          </w:tcPr>
          <w:p>
            <w:r>
              <w:rPr>
                <w:rFonts w:ascii="Times New Roman" w:hAnsi="Times New Roman"/>
                <w:sz w:val="20"/>
              </w:rPr>
              <w:t>ρ ≫ 1.0 (Resonance Lock)</w:t>
            </w:r>
          </w:p>
        </w:tc>
        <w:tc>
          <w:tcPr>
            <w:tcW w:type="dxa" w:w="1560"/>
          </w:tcPr>
          <w:p>
            <w:r>
              <w:rPr>
                <w:rFonts w:ascii="Times New Roman" w:hAnsi="Times New Roman"/>
                <w:sz w:val="20"/>
              </w:rPr>
              <w:t>Biological Stratification</w:t>
            </w:r>
          </w:p>
        </w:tc>
        <w:tc>
          <w:tcPr>
            <w:tcW w:type="dxa" w:w="1560"/>
          </w:tcPr>
          <w:p>
            <w:r>
              <w:rPr>
                <w:rFonts w:ascii="Times New Roman" w:hAnsi="Times New Roman"/>
                <w:sz w:val="20"/>
              </w:rPr>
              <w:t>observed / derived</w:t>
            </w:r>
          </w:p>
        </w:tc>
      </w:tr>
      <w:tr>
        <w:tc>
          <w:tcPr>
            <w:tcW w:type="dxa" w:w="1560"/>
          </w:tcPr>
          <w:p>
            <w:r>
              <w:rPr>
                <w:rFonts w:ascii="Times New Roman" w:hAnsi="Times New Roman"/>
                <w:sz w:val="20"/>
              </w:rPr>
              <w:t>Cybersecurity</w:t>
            </w:r>
          </w:p>
        </w:tc>
        <w:tc>
          <w:tcPr>
            <w:tcW w:type="dxa" w:w="1560"/>
          </w:tcPr>
          <w:p>
            <w:r>
              <w:rPr>
                <w:rFonts w:ascii="Times New Roman" w:hAnsi="Times New Roman"/>
                <w:sz w:val="20"/>
              </w:rPr>
              <w:t>CVE Inflow (+139.3% in 6 yrs)</w:t>
            </w:r>
          </w:p>
        </w:tc>
        <w:tc>
          <w:tcPr>
            <w:tcW w:type="dxa" w:w="1560"/>
          </w:tcPr>
          <w:p>
            <w:r>
              <w:rPr>
                <w:rFonts w:ascii="Times New Roman" w:hAnsi="Times New Roman"/>
                <w:sz w:val="20"/>
              </w:rPr>
              <w:t>Patching floor (BOD 14–21 days)</w:t>
            </w:r>
          </w:p>
        </w:tc>
        <w:tc>
          <w:tcPr>
            <w:tcW w:type="dxa" w:w="1560"/>
          </w:tcPr>
          <w:p>
            <w:r>
              <w:rPr>
                <w:rFonts w:ascii="Times New Roman" w:hAnsi="Times New Roman"/>
                <w:sz w:val="20"/>
              </w:rPr>
              <w:t>ρ ≫ 1.0 (Queue explosion)</w:t>
            </w:r>
          </w:p>
        </w:tc>
        <w:tc>
          <w:tcPr>
            <w:tcW w:type="dxa" w:w="1560"/>
          </w:tcPr>
          <w:p>
            <w:r>
              <w:rPr>
                <w:rFonts w:ascii="Times New Roman" w:hAnsi="Times New Roman"/>
                <w:sz w:val="20"/>
              </w:rPr>
              <w:t>Remediation Deficit</w:t>
            </w:r>
          </w:p>
        </w:tc>
        <w:tc>
          <w:tcPr>
            <w:tcW w:type="dxa" w:w="1560"/>
          </w:tcPr>
          <w:p>
            <w:r>
              <w:rPr>
                <w:rFonts w:ascii="Times New Roman" w:hAnsi="Times New Roman"/>
                <w:sz w:val="20"/>
              </w:rPr>
              <w:t>observed / unresolved</w:t>
            </w:r>
          </w:p>
        </w:tc>
      </w:tr>
    </w:tbl>
    <w:p/>
    <w:p>
      <w:pPr>
        <w:pStyle w:val="Heading1"/>
      </w:pPr>
      <w:r>
        <w:rPr>
          <w:rFonts w:ascii="Times New Roman" w:hAnsi="Times New Roman"/>
          <w:color w:val="000000"/>
        </w:rPr>
        <w:t>XII. Conclusion: The Biopolitical Horizon of Resonance Lock</w:t>
      </w:r>
    </w:p>
    <w:p>
      <w:pPr>
        <w:ind w:firstLine="720"/>
      </w:pPr>
      <w:r>
        <w:rPr>
          <w:rFonts w:ascii="Times New Roman" w:hAnsi="Times New Roman"/>
          <w:b w:val="0"/>
          <w:i w:val="0"/>
          <w:sz w:val="24"/>
        </w:rPr>
        <w:t>One engine, two clocks was this paper's opening image, and it is where the empirical inquiry inevitably returns. Across five real domains, the evidence rejects the neoclassical assumption of automatic diffusion convergence. Where frontier and floor share a physical substrate — as in residential housing — the pipeline exhibits self-correcting, stationary boundedness (ADF p &lt; 10⁻¹⁰). Where an exponential discovery engine confronts an incompressible biological or institutional floor — as in AI capability, longevity biotechnology, and cybersecurity — the queueing system undergoes catastrophic non-stationary collapse.</w:t>
      </w:r>
    </w:p>
    <w:p>
      <w:pPr>
        <w:ind w:firstLine="720"/>
      </w:pPr>
      <w:r>
        <w:rPr>
          <w:rFonts w:ascii="Times New Roman" w:hAnsi="Times New Roman"/>
          <w:b w:val="0"/>
          <w:i w:val="0"/>
          <w:sz w:val="24"/>
        </w:rPr>
        <w:t>In longevity biotechnology, the consequence of Resonance Lock (t* = 7.33 years) transcends economics. When discovery compounds at r_A = 0.25/year while human clinical verification is held captive by the Clinical Hard Floor (μ_clin = 1.25/year), the workload gap W(t) explodes exponentially. By year 30, the gap reaches 594.8 years of unabsorbed life extension. Under these mathematical dynamics, mortality ceases to be a universal biological invariant shared equally across the human species; it transitions into a class-stratified economic variable. The wealthy purchase access to continuous off-label frontier iterations while the median floor remains anchored to unvalidated generics.</w:t>
      </w:r>
    </w:p>
    <w:p>
      <w:pPr>
        <w:ind w:firstLine="720"/>
      </w:pPr>
      <w:r>
        <w:rPr>
          <w:rFonts w:ascii="Times New Roman" w:hAnsi="Times New Roman"/>
          <w:b w:val="0"/>
          <w:i w:val="0"/>
          <w:sz w:val="24"/>
        </w:rPr>
        <w:t>The Capacity–Latency Resonance Paradox survives as a rigorous, falsifiable scientific theory. It establishes that capital subsidies to soft floors are futile as long as the hard floor binds, that extraction volume does not constitute diffusion, and that raw residuals must never be sacrificed to smooth narratives. Until institutional translation mechanisms are redesigned from first principles to address longitudinal biological incompressibility, the floor will not rise.</w:t>
      </w:r>
    </w:p>
    <w:p>
      <w:r>
        <w:br w:type="page"/>
      </w:r>
    </w:p>
    <w:p>
      <w:pPr>
        <w:pStyle w:val="Heading1"/>
      </w:pPr>
      <w:r>
        <w:rPr>
          <w:rFonts w:ascii="Times New Roman" w:hAnsi="Times New Roman"/>
          <w:color w:val="000000"/>
        </w:rPr>
        <w:t>References &amp; Author Monograph Registry</w:t>
      </w:r>
    </w:p>
    <w:p>
      <w:pPr>
        <w:ind w:left="720" w:hanging="720"/>
      </w:pPr>
      <w:r>
        <w:rPr>
          <w:rFonts w:ascii="Times New Roman" w:hAnsi="Times New Roman"/>
          <w:sz w:val="22"/>
        </w:rPr>
        <w:t>Ablon, L., &amp; Bogart, A. (2017). Zero Days, Thousands of Nights: The Life and Times of Zero-Day Vulnerabilities and Their Exploits. RAND Corporation.</w:t>
      </w:r>
    </w:p>
    <w:p>
      <w:pPr>
        <w:ind w:left="720" w:hanging="720"/>
      </w:pPr>
      <w:r>
        <w:rPr>
          <w:rFonts w:ascii="Times New Roman" w:hAnsi="Times New Roman"/>
          <w:sz w:val="22"/>
        </w:rPr>
        <w:t>Aghion, P., &amp; Howitt, P. (1992). A model of growth through creative destruction. Econometrica, 60(2), 323–351.</w:t>
      </w:r>
    </w:p>
    <w:p>
      <w:pPr>
        <w:ind w:left="720" w:hanging="720"/>
      </w:pPr>
      <w:r>
        <w:rPr>
          <w:rFonts w:ascii="Times New Roman" w:hAnsi="Times New Roman"/>
          <w:sz w:val="22"/>
        </w:rPr>
        <w:t>Anthropic. (2026a, February 23). Detecting and preventing distillation attacks [Blog post]. anthropic.com.</w:t>
      </w:r>
    </w:p>
    <w:p>
      <w:pPr>
        <w:ind w:left="720" w:hanging="720"/>
      </w:pPr>
      <w:r>
        <w:rPr>
          <w:rFonts w:ascii="Times New Roman" w:hAnsi="Times New Roman"/>
          <w:sz w:val="22"/>
        </w:rPr>
        <w:t>Anthropic. (2026b, September). Detecting and Countering Misuse of AI: September 2026 [Threat intelligence report]. anthropic.com.</w:t>
      </w:r>
    </w:p>
    <w:p>
      <w:pPr>
        <w:ind w:left="720" w:hanging="720"/>
      </w:pPr>
      <w:r>
        <w:rPr>
          <w:rFonts w:ascii="Times New Roman" w:hAnsi="Times New Roman"/>
          <w:sz w:val="22"/>
        </w:rPr>
        <w:t>Berwick, D. M. (2003). Disseminating innovations in health care. JAMA, 289(15), 1969–1975.</w:t>
      </w:r>
    </w:p>
    <w:p>
      <w:pPr>
        <w:ind w:left="720" w:hanging="720"/>
      </w:pPr>
      <w:r>
        <w:rPr>
          <w:rFonts w:ascii="Times New Roman" w:hAnsi="Times New Roman"/>
          <w:sz w:val="22"/>
        </w:rPr>
        <w:t>Bostrom, N. (2002). Existential risks: Analyzing human extinction scenarios and related hazards. Journal of Evolution and Technology, 9(1).</w:t>
      </w:r>
    </w:p>
    <w:p>
      <w:pPr>
        <w:ind w:left="720" w:hanging="720"/>
      </w:pPr>
      <w:r>
        <w:rPr>
          <w:rFonts w:ascii="Times New Roman" w:hAnsi="Times New Roman"/>
          <w:sz w:val="22"/>
        </w:rPr>
        <w:t>CALERIE Research Group. (2023). Effect of long-term calorie restriction on DNA methylation measures of biological aging. Nature Aging, 4, 305–317. PMID: 39418098.</w:t>
      </w:r>
    </w:p>
    <w:p>
      <w:pPr>
        <w:ind w:left="720" w:hanging="720"/>
      </w:pPr>
      <w:r>
        <w:rPr>
          <w:rFonts w:ascii="Times New Roman" w:hAnsi="Times New Roman"/>
          <w:sz w:val="22"/>
        </w:rPr>
        <w:t>Chetty, R., Stepner, M., Abraham, S., Lin, S., Scuderi, B., Turner, N., Bergeron, A., &amp; Cutler, D. (2016). The association between income and life expectancy in the United States, 2001–2014. JAMA, 315(16), 1750–1766.</w:t>
      </w:r>
    </w:p>
    <w:p>
      <w:pPr>
        <w:ind w:left="720" w:hanging="720"/>
      </w:pPr>
      <w:r>
        <w:rPr>
          <w:rFonts w:ascii="Times New Roman" w:hAnsi="Times New Roman"/>
          <w:sz w:val="22"/>
        </w:rPr>
        <w:t>Cutler, D., Deaton, A., &amp; Lleras-Muney, A. (2006). The determinants of mortality. Journal of Economic Perspectives, 20(3), 97–120.</w:t>
      </w:r>
    </w:p>
    <w:p>
      <w:pPr>
        <w:ind w:left="720" w:hanging="720"/>
      </w:pPr>
      <w:r>
        <w:rPr>
          <w:rFonts w:ascii="Times New Roman" w:hAnsi="Times New Roman"/>
          <w:sz w:val="22"/>
        </w:rPr>
        <w:t>Cybersecurity and Infrastructure Security Agency. (2026). Known Exploited Vulnerabilities Catalog [Data set]. github.com/cisagov/kev-data.</w:t>
      </w:r>
    </w:p>
    <w:p>
      <w:pPr>
        <w:ind w:left="720" w:hanging="720"/>
      </w:pPr>
      <w:r>
        <w:rPr>
          <w:rFonts w:ascii="Times New Roman" w:hAnsi="Times New Roman"/>
          <w:sz w:val="22"/>
        </w:rPr>
        <w:t>CVE Program. (2026). CVE List V5 [Data set]. github.com/CVEProject/cvelistV5.</w:t>
      </w:r>
    </w:p>
    <w:p>
      <w:pPr>
        <w:ind w:left="720" w:hanging="720"/>
      </w:pPr>
      <w:r>
        <w:rPr>
          <w:rFonts w:ascii="Times New Roman" w:hAnsi="Times New Roman"/>
          <w:sz w:val="22"/>
        </w:rPr>
        <w:t>Federal Reserve Bank of St. Louis (FRED). (2026). New Private Housing Units Authorized by Building Permits (PERMIT), Housing Starts (HOUST), New Houses Completed (COMPUTSA). fred.stlouisfed.org.</w:t>
      </w:r>
    </w:p>
    <w:p>
      <w:pPr>
        <w:ind w:left="720" w:hanging="720"/>
      </w:pPr>
      <w:r>
        <w:rPr>
          <w:rFonts w:ascii="Times New Roman" w:hAnsi="Times New Roman"/>
          <w:sz w:val="22"/>
        </w:rPr>
        <w:t>Hirsch, F. (1977). Social Limits to Growth. Harvard University Press.</w:t>
      </w:r>
    </w:p>
    <w:p>
      <w:pPr>
        <w:ind w:left="720" w:hanging="720"/>
      </w:pPr>
      <w:r>
        <w:rPr>
          <w:rFonts w:ascii="Times New Roman" w:hAnsi="Times New Roman"/>
          <w:sz w:val="22"/>
        </w:rPr>
        <w:t>Huynh, G. B. (2026a). Till Death Tear Us Apart: A Structural Analysis of the Longevity Asymmetry and the Closing Window. Zenodo. DOI: 10.5281/zenodo.20777406.</w:t>
      </w:r>
    </w:p>
    <w:p>
      <w:pPr>
        <w:ind w:left="720" w:hanging="720"/>
      </w:pPr>
      <w:r>
        <w:rPr>
          <w:rFonts w:ascii="Times New Roman" w:hAnsi="Times New Roman"/>
          <w:sz w:val="22"/>
        </w:rPr>
        <w:t>Huynh, G. B. (2026b). The Unfalsifiable Critic: Prospective Immunization, Epistemic Asymmetry, and the Capacity-Latency Resonance Impossibility. Zenodo. DOI: 10.5281/zenodo.20776160.</w:t>
      </w:r>
    </w:p>
    <w:p>
      <w:pPr>
        <w:ind w:left="720" w:hanging="720"/>
      </w:pPr>
      <w:r>
        <w:rPr>
          <w:rFonts w:ascii="Times New Roman" w:hAnsi="Times New Roman"/>
          <w:sz w:val="22"/>
        </w:rPr>
        <w:t>Huynh, G. B. (2026c). The Biological Zero-Day Mechanism: Reclassification, Discovery Acceleration, and the Dynamic Expansion of Preventable Death. Zenodo. DOI: 10.5281/zenodo.20780733.</w:t>
      </w:r>
    </w:p>
    <w:p>
      <w:pPr>
        <w:ind w:left="720" w:hanging="720"/>
      </w:pPr>
      <w:r>
        <w:rPr>
          <w:rFonts w:ascii="Times New Roman" w:hAnsi="Times New Roman"/>
          <w:sz w:val="22"/>
        </w:rPr>
        <w:t>Huynh, G. B. (2026d). The Closing Window: Structural Conditions for Political Escalation Under Biological Stratification. Zenodo. DOI: 10.5281/zenodo.20785465.</w:t>
      </w:r>
    </w:p>
    <w:p>
      <w:pPr>
        <w:ind w:left="720" w:hanging="720"/>
      </w:pPr>
      <w:r>
        <w:rPr>
          <w:rFonts w:ascii="Times New Roman" w:hAnsi="Times New Roman"/>
          <w:sz w:val="22"/>
        </w:rPr>
        <w:t>Huynh, G. B. (2026e). The Two Biases That Blind Governance: How Consumer-Technology Optimism and Therapeutic Reasoning Mistake an Unbounded Process for a Bounded Disease. Zenodo. DOI: 10.5281/zenodo.20792546.</w:t>
      </w:r>
    </w:p>
    <w:p>
      <w:pPr>
        <w:ind w:left="720" w:hanging="720"/>
      </w:pPr>
      <w:r>
        <w:rPr>
          <w:rFonts w:ascii="Times New Roman" w:hAnsi="Times New Roman"/>
          <w:sz w:val="22"/>
        </w:rPr>
        <w:t>Kleinrock, L. (1975). Queueing Systems, Volume 1: Theory. Wiley-Interscience.</w:t>
      </w:r>
    </w:p>
    <w:p>
      <w:pPr>
        <w:ind w:left="720" w:hanging="720"/>
      </w:pPr>
      <w:r>
        <w:rPr>
          <w:rFonts w:ascii="Times New Roman" w:hAnsi="Times New Roman"/>
          <w:sz w:val="22"/>
        </w:rPr>
        <w:t>Massey, W. A. (1985). Asymptotic analysis of the time dependent M/M/1 queue. Mathematics of Operations Research, 10(2), 305–327.</w:t>
      </w:r>
    </w:p>
    <w:p>
      <w:pPr>
        <w:ind w:left="720" w:hanging="720"/>
      </w:pPr>
      <w:r>
        <w:rPr>
          <w:rFonts w:ascii="Times New Roman" w:hAnsi="Times New Roman"/>
          <w:sz w:val="22"/>
        </w:rPr>
        <w:t>Mayoral-Vilches, V., et al. (2026). Certifying ghosts: How cybersecurity AI agents break the EU Cyber Resilience Act. arXiv:2607.07109.</w:t>
      </w:r>
    </w:p>
    <w:p>
      <w:pPr>
        <w:ind w:left="720" w:hanging="720"/>
      </w:pPr>
      <w:r>
        <w:rPr>
          <w:rFonts w:ascii="Times New Roman" w:hAnsi="Times New Roman"/>
          <w:sz w:val="22"/>
        </w:rPr>
        <w:t>METR. (2025–2026). Measuring AI Ability to Complete Long Tasks: Evaluation Data and Analysis [Data set]. github.com/METR/eval-analysis-public.</w:t>
      </w:r>
    </w:p>
    <w:p>
      <w:pPr>
        <w:ind w:left="720" w:hanging="720"/>
      </w:pPr>
      <w:r>
        <w:rPr>
          <w:rFonts w:ascii="Times New Roman" w:hAnsi="Times New Roman"/>
          <w:sz w:val="22"/>
        </w:rPr>
        <w:t>Rogers, E. M. (2003). Diffusion of Innovations (5th ed.). Free Press.</w:t>
      </w:r>
    </w:p>
    <w:p>
      <w:pPr>
        <w:ind w:left="720" w:hanging="720"/>
      </w:pPr>
      <w:r>
        <w:rPr>
          <w:rFonts w:ascii="Times New Roman" w:hAnsi="Times New Roman"/>
          <w:sz w:val="22"/>
        </w:rPr>
        <w:t>Van Valen, L. (1973). A new evolutionary law. Evolutionary Theory, 1, 1–30.</w:t>
      </w:r>
    </w:p>
    <w:p>
      <w:pPr>
        <w:ind w:left="720" w:hanging="720"/>
      </w:pPr>
      <w:r>
        <w:rPr>
          <w:rFonts w:ascii="Times New Roman" w:hAnsi="Times New Roman"/>
          <w:sz w:val="22"/>
        </w:rPr>
        <w:t>Whitt, W. (2002). Stochastic-Process Limits: An Introduction to Stochastic-Process Limits for Heavy-Traffic Limits of Queues. Springer-Verlag.</w:t>
      </w:r>
    </w:p>
    <w:p>
      <w:r>
        <w:br w:type="page"/>
      </w:r>
    </w:p>
    <w:p>
      <w:pPr>
        <w:pStyle w:val="Heading1"/>
      </w:pPr>
      <w:r>
        <w:rPr>
          <w:rFonts w:ascii="Times New Roman" w:hAnsi="Times New Roman"/>
          <w:color w:val="000000"/>
        </w:rPr>
        <w:t>Appendix A: Audit, Provenance &amp; Reproducibility Statement</w:t>
      </w:r>
    </w:p>
    <w:p>
      <w:pPr>
        <w:ind w:firstLine="720"/>
      </w:pPr>
      <w:r>
        <w:rPr>
          <w:rFonts w:ascii="Times New Roman" w:hAnsi="Times New Roman"/>
          <w:b w:val="0"/>
          <w:i w:val="0"/>
          <w:sz w:val="24"/>
        </w:rPr>
        <w:t>This research paper is supported by a 100% reproducible, machine-readable audit corpus. Zero synthetic data imputation was performed. All data points are linked to SHA-256 verified primary files. The replication test suite (pytest tests/) passes with 6/6 tests covering unit root stationarity, time-horizon logistic fits, and table generation. The complete replication package is publicly available on GitHub (https://github.com/giabaohuynhasu/the-floor-that-does-not-rise) and Hugging Face Hub (https://huggingface.co/datasets/Jun33550336/the-floor-that-does-not-rise).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