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Giac Ngo Techstack</w:t>
      </w:r>
    </w:p>
    <w:p>
      <w:pPr>
        <w:numPr>
          <w:numId w:val="1"/>
        </w:numPr>
        <w:spacing w:before="120" w:after="120" w:line="288" w:lineRule="auto"/>
        <w:ind w:left="0"/>
        <w:jc w:val="left"/>
      </w:pPr>
      <w:r>
        <w:rPr>
          <w:rFonts w:eastAsia="等线" w:ascii="Arial" w:cs="Arial" w:hAnsi="Arial"/>
          <w:b w:val="true"/>
          <w:sz w:val="22"/>
        </w:rPr>
        <w:t>The Architecture of Awakened Technology (The Giác Ngộ Tech Stack)</w:t>
      </w:r>
    </w:p>
    <w:p>
      <w:pPr>
        <w:pStyle w:val="4"/>
        <w:spacing w:before="260" w:after="120" w:line="288" w:lineRule="auto"/>
        <w:ind w:left="0"/>
        <w:jc w:val="left"/>
        <w:outlineLvl w:val="3"/>
      </w:pPr>
      <w:bookmarkStart w:name="heading_0" w:id="0"/>
      <w:r>
        <w:rPr>
          <w:rFonts w:eastAsia="等线" w:ascii="Arial" w:cs="Arial" w:hAnsi="Arial"/>
          <w:b w:val="true"/>
          <w:sz w:val="28"/>
        </w:rPr>
        <w:t>4.1. Vision &amp; Mission</w:t>
      </w:r>
      <w:bookmarkEnd w:id="0"/>
    </w:p>
    <w:p>
      <w:pPr>
        <w:spacing w:before="120" w:after="120" w:line="288" w:lineRule="auto"/>
        <w:ind w:left="0"/>
        <w:jc w:val="left"/>
      </w:pPr>
      <w:r>
        <w:rPr>
          <w:rFonts w:eastAsia="等线" w:ascii="Arial" w:cs="Arial" w:hAnsi="Arial"/>
          <w:b w:val="true"/>
          <w:sz w:val="22"/>
        </w:rPr>
        <w:t>Our Vision:</w:t>
      </w:r>
      <w:r>
        <w:rPr>
          <w:rFonts w:eastAsia="等线" w:ascii="Arial" w:cs="Arial" w:hAnsi="Arial"/>
          <w:sz w:val="22"/>
        </w:rPr>
        <w:t xml:space="preserve"> To become the world's first, most profound digital community where spirituality meets technology; where every interaction, every shared insight, is an opportunity to generate Intrinsic Merit and accelerate collective awakening.</w:t>
      </w:r>
    </w:p>
    <w:p>
      <w:pPr>
        <w:numPr>
          <w:numId w:val="2"/>
        </w:numPr>
        <w:spacing w:before="120" w:after="120" w:line="288" w:lineRule="auto"/>
        <w:ind w:left="0"/>
        <w:jc w:val="left"/>
      </w:pPr>
      <w:r>
        <w:rPr>
          <w:rFonts w:eastAsia="等线" w:ascii="Arial" w:cs="Arial" w:hAnsi="Arial"/>
          <w:b w:val="true"/>
          <w:sz w:val="22"/>
        </w:rPr>
        <w:t>Our Mission:</w:t>
      </w:r>
      <w:r>
        <w:rPr>
          <w:rFonts w:eastAsia="等线" w:ascii="Arial" w:cs="Arial" w:hAnsi="Arial"/>
          <w:sz w:val="22"/>
        </w:rPr>
        <w:t xml:space="preserve"> To provide tools, teachings, and a nurturing community that supports individuals and Sanghas (spiritual communities) on their journey to awakening. To demystify Intrinsic Merit (Công Đức) and make it the central currency of a new, more conscious civilization. To build alliances with all traditions that honor the same non-dual Truth.</w:t>
      </w:r>
    </w:p>
    <w:p>
      <w:pPr>
        <w:pStyle w:val="4"/>
        <w:spacing w:before="260" w:after="120" w:line="288" w:lineRule="auto"/>
        <w:ind w:left="0"/>
        <w:jc w:val="left"/>
        <w:outlineLvl w:val="3"/>
      </w:pPr>
      <w:bookmarkStart w:name="heading_1" w:id="1"/>
      <w:r>
        <w:rPr>
          <w:rFonts w:eastAsia="等线" w:ascii="Arial" w:cs="Arial" w:hAnsi="Arial"/>
          <w:b w:val="true"/>
          <w:sz w:val="28"/>
        </w:rPr>
        <w:t>4.2. Foundation: The Collective Compute Mandala</w:t>
      </w:r>
      <w:bookmarkEnd w:id="1"/>
    </w:p>
    <w:p>
      <w:pPr>
        <w:spacing w:before="120" w:after="120" w:line="288" w:lineRule="auto"/>
        <w:ind w:left="0"/>
        <w:jc w:val="left"/>
      </w:pPr>
      <w:r>
        <w:rPr>
          <w:rFonts w:eastAsia="等线" w:ascii="Arial" w:cs="Arial" w:hAnsi="Arial"/>
          <w:sz w:val="22"/>
        </w:rPr>
        <w:t xml:space="preserve">The Giác Ngộ Ecosystem is built upon a </w:t>
      </w:r>
      <w:r>
        <w:rPr>
          <w:rFonts w:eastAsia="等线" w:ascii="Arial" w:cs="Arial" w:hAnsi="Arial"/>
          <w:b w:val="true"/>
          <w:sz w:val="22"/>
        </w:rPr>
        <w:t>global network of decentralized off-chain computation nodes</w:t>
      </w:r>
      <w:r>
        <w:rPr>
          <w:rFonts w:eastAsia="等线" w:ascii="Arial" w:cs="Arial" w:hAnsi="Arial"/>
          <w:sz w:val="22"/>
        </w:rPr>
        <w:t>, acting as a collective supercomputer.</w:t>
      </w:r>
    </w:p>
    <w:p>
      <w:pPr>
        <w:spacing w:before="120" w:after="120" w:line="288" w:lineRule="auto"/>
        <w:ind w:left="0"/>
        <w:jc w:val="left"/>
      </w:pPr>
      <w:r>
        <w:rPr>
          <w:rFonts w:eastAsia="等线" w:ascii="Arial" w:cs="Arial" w:hAnsi="Arial"/>
          <w:sz w:val="22"/>
        </w:rPr>
        <w:t>Our philosophy begins with the rejection of centralized platforms. The "Sickness of the Digital Age" is fueled by centralized GPU farms (AWS, Google Cloud) which are designed to "harvest the human mind" as a commodity. To build a "sacred digital vessel," we must build on a foundation that has no single ruling entity. This decentralized infrastructure provides the perfect technical foundation, in parallel with our philosophy:</w:t>
      </w:r>
    </w:p>
    <w:p>
      <w:pPr>
        <w:numPr>
          <w:numId w:val="3"/>
        </w:numPr>
        <w:spacing w:before="120" w:after="120" w:line="288" w:lineRule="auto"/>
        <w:ind w:left="0"/>
        <w:jc w:val="left"/>
      </w:pPr>
      <w:r>
        <w:rPr>
          <w:rFonts w:eastAsia="等线" w:ascii="Arial" w:cs="Arial" w:hAnsi="Arial"/>
          <w:b w:val="true"/>
          <w:sz w:val="22"/>
        </w:rPr>
        <w:t>Breaking Centralization (Phá Chấp Ngã):</w:t>
      </w:r>
      <w:r>
        <w:rPr>
          <w:rFonts w:eastAsia="等线" w:ascii="Arial" w:cs="Arial" w:hAnsi="Arial"/>
          <w:sz w:val="22"/>
        </w:rPr>
        <w:t xml:space="preserve"> By leveraging the pooled computational capabilities of independent user-run nodes, we break the dependency on central servers, just as Giác Ngộ breaks the dependency on the "worldly ego."</w:t>
      </w:r>
    </w:p>
    <w:p>
      <w:pPr>
        <w:numPr>
          <w:numId w:val="4"/>
        </w:numPr>
        <w:spacing w:before="120" w:after="120" w:line="288" w:lineRule="auto"/>
        <w:ind w:left="0"/>
        <w:jc w:val="left"/>
      </w:pPr>
      <w:r>
        <w:rPr>
          <w:rFonts w:eastAsia="等线" w:ascii="Arial" w:cs="Arial" w:hAnsi="Arial"/>
          <w:b w:val="true"/>
          <w:sz w:val="22"/>
        </w:rPr>
        <w:t>Elastic Scalability (Pháp Thân Biến Mãn):</w:t>
      </w:r>
      <w:r>
        <w:rPr>
          <w:rFonts w:eastAsia="等线" w:ascii="Arial" w:cs="Arial" w:hAnsi="Arial"/>
          <w:sz w:val="22"/>
        </w:rPr>
        <w:t xml:space="preserve"> The platform is elastic by default. It can burst instantly across thousands of nodes for heavy jobs (like AI training) and, crucially, </w:t>
      </w:r>
      <w:r>
        <w:rPr>
          <w:rFonts w:eastAsia="等线" w:ascii="Arial" w:cs="Arial" w:hAnsi="Arial"/>
          <w:b w:val="true"/>
          <w:sz w:val="22"/>
        </w:rPr>
        <w:t>scale to zero</w:t>
      </w:r>
      <w:r>
        <w:rPr>
          <w:rFonts w:eastAsia="等线" w:ascii="Arial" w:cs="Arial" w:hAnsi="Arial"/>
          <w:sz w:val="22"/>
        </w:rPr>
        <w:t xml:space="preserve"> when idle. This reflects the nature of the Mind: powerfully present when needed, perfectly still when not.</w:t>
      </w:r>
    </w:p>
    <w:p>
      <w:pPr>
        <w:numPr>
          <w:numId w:val="5"/>
        </w:numPr>
        <w:spacing w:before="120" w:after="120" w:line="288" w:lineRule="auto"/>
        <w:ind w:left="0"/>
        <w:jc w:val="left"/>
      </w:pPr>
      <w:r>
        <w:rPr>
          <w:rFonts w:eastAsia="等线" w:ascii="Arial" w:cs="Arial" w:hAnsi="Arial"/>
          <w:b w:val="true"/>
          <w:sz w:val="22"/>
        </w:rPr>
        <w:t>Sustainable Primitives (Tận Dụng Duyên Lành):</w:t>
      </w:r>
      <w:r>
        <w:rPr>
          <w:rFonts w:eastAsia="等线" w:ascii="Arial" w:cs="Arial" w:hAnsi="Arial"/>
          <w:sz w:val="22"/>
        </w:rPr>
        <w:t xml:space="preserve"> The network capitalizes on idle computing power, utilizing existing, often-underutilized resources. This principle of non-waste reduces total energy per useful task and aligns with the Dharma, turning the world's latent potential (duyên) into a tool for awakening.</w:t>
      </w:r>
    </w:p>
    <w:p>
      <w:pPr>
        <w:pStyle w:val="4"/>
        <w:spacing w:before="260" w:after="120" w:line="288" w:lineRule="auto"/>
        <w:ind w:left="0"/>
        <w:jc w:val="left"/>
        <w:outlineLvl w:val="3"/>
      </w:pPr>
      <w:bookmarkStart w:name="heading_2" w:id="2"/>
      <w:r>
        <w:rPr>
          <w:rFonts w:eastAsia="等线" w:ascii="Arial" w:cs="Arial" w:hAnsi="Arial"/>
          <w:b w:val="true"/>
          <w:sz w:val="28"/>
        </w:rPr>
        <w:t>4.3. Protocol Layer 1: The Mandala Ledger (Leveraging Verifiable Off-Chain Ledgers)</w:t>
      </w:r>
      <w:bookmarkEnd w:id="2"/>
    </w:p>
    <w:p>
      <w:pPr>
        <w:spacing w:before="120" w:after="120" w:line="288" w:lineRule="auto"/>
        <w:ind w:left="0"/>
        <w:jc w:val="left"/>
      </w:pPr>
      <w:r>
        <w:rPr>
          <w:rFonts w:eastAsia="等线" w:ascii="Arial" w:cs="Arial" w:hAnsi="Arial"/>
          <w:sz w:val="22"/>
        </w:rPr>
        <w:t>The Flow of Awakening, the Dharma Library, and the merit profile of each practitioner create an immense amount of data that cannot be stored entirely on-chain.</w:t>
      </w:r>
    </w:p>
    <w:p>
      <w:pPr>
        <w:spacing w:before="120" w:after="120" w:line="288" w:lineRule="auto"/>
        <w:ind w:left="0"/>
        <w:jc w:val="left"/>
      </w:pPr>
      <w:r>
        <w:rPr>
          <w:rFonts w:eastAsia="等线" w:ascii="Arial" w:cs="Arial" w:hAnsi="Arial"/>
          <w:sz w:val="22"/>
        </w:rPr>
        <w:t xml:space="preserve">We leverage verifiable off-chain ledgers. The entire history of shared wisdom, Dharma talks, and merit-generating actions is organized as Acyclic Data (DAG) structures. These structures are then reliably anchored to the blockchain, creating </w:t>
      </w:r>
      <w:r>
        <w:rPr>
          <w:rFonts w:eastAsia="等线" w:ascii="Arial" w:cs="Arial" w:hAnsi="Arial"/>
          <w:b w:val="true"/>
          <w:sz w:val="22"/>
        </w:rPr>
        <w:t>verifiable rails</w:t>
      </w:r>
      <w:r>
        <w:rPr>
          <w:rFonts w:eastAsia="等线" w:ascii="Arial" w:cs="Arial" w:hAnsi="Arial"/>
          <w:sz w:val="22"/>
        </w:rPr>
        <w:t xml:space="preserve"> for our ecosystem.</w:t>
      </w:r>
    </w:p>
    <w:p>
      <w:pPr>
        <w:spacing w:before="120" w:after="120" w:line="288" w:lineRule="auto"/>
        <w:ind w:left="0"/>
        <w:jc w:val="left"/>
      </w:pPr>
      <w:r>
        <w:rPr>
          <w:rFonts w:eastAsia="等线" w:ascii="Arial" w:cs="Arial" w:hAnsi="Arial"/>
          <w:sz w:val="22"/>
        </w:rPr>
        <w:t xml:space="preserve">This allows Giác Ngộ to maintain an immutable record of collective wisdom and merit history—our </w:t>
      </w:r>
      <w:r>
        <w:rPr>
          <w:rFonts w:eastAsia="等线" w:ascii="Arial" w:cs="Arial" w:hAnsi="Arial"/>
          <w:b w:val="true"/>
          <w:sz w:val="22"/>
        </w:rPr>
        <w:t>Mandala Ledger</w:t>
      </w:r>
      <w:r>
        <w:rPr>
          <w:rFonts w:eastAsia="等线" w:ascii="Arial" w:cs="Arial" w:hAnsi="Arial"/>
          <w:sz w:val="22"/>
        </w:rPr>
        <w:t>—without sacrificing speed or cost.</w:t>
      </w:r>
    </w:p>
    <w:p>
      <w:pPr>
        <w:pStyle w:val="4"/>
        <w:spacing w:before="260" w:after="120" w:line="288" w:lineRule="auto"/>
        <w:ind w:left="0"/>
        <w:jc w:val="left"/>
        <w:outlineLvl w:val="3"/>
      </w:pPr>
      <w:bookmarkStart w:name="heading_3" w:id="3"/>
      <w:r>
        <w:rPr>
          <w:rFonts w:eastAsia="等线" w:ascii="Arial" w:cs="Arial" w:hAnsi="Arial"/>
          <w:b w:val="true"/>
          <w:sz w:val="28"/>
        </w:rPr>
        <w:t>4.4. Protocol Layer 2: Merit Attribution Protocol (A Spiritual Extension of Verifiable Compute)</w:t>
      </w:r>
      <w:bookmarkEnd w:id="3"/>
    </w:p>
    <w:p>
      <w:pPr>
        <w:spacing w:before="120" w:after="120" w:line="288" w:lineRule="auto"/>
        <w:ind w:left="0"/>
        <w:jc w:val="left"/>
      </w:pPr>
      <w:r>
        <w:rPr>
          <w:rFonts w:eastAsia="等线" w:ascii="Arial" w:cs="Arial" w:hAnsi="Arial"/>
          <w:sz w:val="22"/>
        </w:rPr>
        <w:t xml:space="preserve">The network's economy is built on a protocol for </w:t>
      </w:r>
      <w:r>
        <w:rPr>
          <w:rFonts w:eastAsia="等线" w:ascii="Arial" w:cs="Arial" w:hAnsi="Arial"/>
          <w:b w:val="true"/>
          <w:sz w:val="22"/>
        </w:rPr>
        <w:t>compute attribution and reputation</w:t>
      </w:r>
      <w:r>
        <w:rPr>
          <w:rFonts w:eastAsia="等线" w:ascii="Arial" w:cs="Arial" w:hAnsi="Arial"/>
          <w:sz w:val="22"/>
        </w:rPr>
        <w:t>—a universal standard for rewarding nodes based on verifiable computational proof.</w:t>
      </w:r>
    </w:p>
    <w:p>
      <w:pPr>
        <w:spacing w:before="120" w:after="120" w:line="288" w:lineRule="auto"/>
        <w:ind w:left="0"/>
        <w:jc w:val="left"/>
      </w:pPr>
      <w:r>
        <w:rPr>
          <w:rFonts w:eastAsia="等线" w:ascii="Arial" w:cs="Arial" w:hAnsi="Arial"/>
          <w:sz w:val="22"/>
        </w:rPr>
        <w:t xml:space="preserve">The Giác Ngộ Ecosystem extends this philosophy to a higher layer, creating the </w:t>
      </w:r>
      <w:r>
        <w:rPr>
          <w:rFonts w:eastAsia="等线" w:ascii="Arial" w:cs="Arial" w:hAnsi="Arial"/>
          <w:b w:val="true"/>
          <w:sz w:val="22"/>
        </w:rPr>
        <w:t>Merit Attribution Protocol</w:t>
      </w:r>
      <w:r>
        <w:rPr>
          <w:rFonts w:eastAsia="等线" w:ascii="Arial" w:cs="Arial" w:hAnsi="Arial"/>
          <w:sz w:val="22"/>
        </w:rPr>
        <w:t>:</w:t>
      </w:r>
    </w:p>
    <w:p>
      <w:pPr>
        <w:numPr>
          <w:numId w:val="6"/>
        </w:numPr>
        <w:spacing w:before="120" w:after="120" w:line="288" w:lineRule="auto"/>
        <w:ind w:left="0"/>
        <w:jc w:val="left"/>
      </w:pPr>
      <w:r>
        <w:rPr>
          <w:rFonts w:eastAsia="等线" w:ascii="Arial" w:cs="Arial" w:hAnsi="Arial"/>
          <w:b w:val="true"/>
          <w:sz w:val="22"/>
        </w:rPr>
        <w:t>Compute Protocol (Technical Layer):</w:t>
      </w:r>
      <w:r>
        <w:rPr>
          <w:rFonts w:eastAsia="等线" w:ascii="Arial" w:cs="Arial" w:hAnsi="Arial"/>
          <w:sz w:val="22"/>
        </w:rPr>
        <w:t xml:space="preserve"> Verifies </w:t>
      </w:r>
      <w:r>
        <w:rPr>
          <w:rFonts w:eastAsia="等线" w:ascii="Arial" w:cs="Arial" w:hAnsi="Arial"/>
          <w:i w:val="true"/>
          <w:sz w:val="22"/>
        </w:rPr>
        <w:t>technical</w:t>
      </w:r>
      <w:r>
        <w:rPr>
          <w:rFonts w:eastAsia="等线" w:ascii="Arial" w:cs="Arial" w:hAnsi="Arial"/>
          <w:sz w:val="22"/>
        </w:rPr>
        <w:t xml:space="preserve"> actions. Example: "Did this node truly store and serve this Dharma talk?"</w:t>
      </w:r>
    </w:p>
    <w:p>
      <w:pPr>
        <w:numPr>
          <w:numId w:val="7"/>
        </w:numPr>
        <w:spacing w:before="120" w:after="120" w:line="288" w:lineRule="auto"/>
        <w:ind w:left="0"/>
        <w:jc w:val="left"/>
      </w:pPr>
      <w:r>
        <w:rPr>
          <w:rFonts w:eastAsia="等线" w:ascii="Arial" w:cs="Arial" w:hAnsi="Arial"/>
          <w:b w:val="true"/>
          <w:sz w:val="22"/>
        </w:rPr>
        <w:t>Merit Protocol (Spiritual Layer):</w:t>
      </w:r>
      <w:r>
        <w:rPr>
          <w:rFonts w:eastAsia="等线" w:ascii="Arial" w:cs="Arial" w:hAnsi="Arial"/>
          <w:sz w:val="22"/>
        </w:rPr>
        <w:t xml:space="preserve"> Verifies the </w:t>
      </w:r>
      <w:r>
        <w:rPr>
          <w:rFonts w:eastAsia="等线" w:ascii="Arial" w:cs="Arial" w:hAnsi="Arial"/>
          <w:i w:val="true"/>
          <w:sz w:val="22"/>
        </w:rPr>
        <w:t>intent</w:t>
      </w:r>
      <w:r>
        <w:rPr>
          <w:rFonts w:eastAsia="等线" w:ascii="Arial" w:cs="Arial" w:hAnsi="Arial"/>
          <w:sz w:val="22"/>
        </w:rPr>
        <w:t xml:space="preserve"> and </w:t>
      </w:r>
      <w:r>
        <w:rPr>
          <w:rFonts w:eastAsia="等线" w:ascii="Arial" w:cs="Arial" w:hAnsi="Arial"/>
          <w:i w:val="true"/>
          <w:sz w:val="22"/>
        </w:rPr>
        <w:t>quality</w:t>
      </w:r>
      <w:r>
        <w:rPr>
          <w:rFonts w:eastAsia="等线" w:ascii="Arial" w:cs="Arial" w:hAnsi="Arial"/>
          <w:sz w:val="22"/>
        </w:rPr>
        <w:t xml:space="preserve"> of an action. Example: "Was this 'Like' action mindful?" "Was this 'Unraveling' of an NFT Badge a true act of letting go?"</w:t>
      </w:r>
    </w:p>
    <w:p>
      <w:pPr>
        <w:spacing w:before="120" w:after="120" w:line="288" w:lineRule="auto"/>
        <w:ind w:left="0"/>
        <w:jc w:val="left"/>
      </w:pPr>
      <w:r>
        <w:rPr>
          <w:rFonts w:eastAsia="等线" w:ascii="Arial" w:cs="Arial" w:hAnsi="Arial"/>
          <w:sz w:val="22"/>
        </w:rPr>
        <w:t xml:space="preserve">The network's protocol provides </w:t>
      </w:r>
      <w:r>
        <w:rPr>
          <w:rFonts w:eastAsia="等线" w:ascii="Arial" w:cs="Arial" w:hAnsi="Arial"/>
          <w:b w:val="true"/>
          <w:sz w:val="22"/>
        </w:rPr>
        <w:t>trustlessness</w:t>
      </w:r>
      <w:r>
        <w:rPr>
          <w:rFonts w:eastAsia="等线" w:ascii="Arial" w:cs="Arial" w:hAnsi="Arial"/>
          <w:sz w:val="22"/>
        </w:rPr>
        <w:t xml:space="preserve"> for the </w:t>
      </w:r>
      <w:r>
        <w:rPr>
          <w:rFonts w:eastAsia="等线" w:ascii="Arial" w:cs="Arial" w:hAnsi="Arial"/>
          <w:i w:val="true"/>
          <w:sz w:val="22"/>
        </w:rPr>
        <w:t>hardware</w:t>
      </w:r>
      <w:r>
        <w:rPr>
          <w:rFonts w:eastAsia="等线" w:ascii="Arial" w:cs="Arial" w:hAnsi="Arial"/>
          <w:sz w:val="22"/>
        </w:rPr>
        <w:t xml:space="preserve">. Our Merit Protocol provides </w:t>
      </w:r>
      <w:r>
        <w:rPr>
          <w:rFonts w:eastAsia="等线" w:ascii="Arial" w:cs="Arial" w:hAnsi="Arial"/>
          <w:b w:val="true"/>
          <w:sz w:val="22"/>
        </w:rPr>
        <w:t>transparency</w:t>
      </w:r>
      <w:r>
        <w:rPr>
          <w:rFonts w:eastAsia="等线" w:ascii="Arial" w:cs="Arial" w:hAnsi="Arial"/>
          <w:sz w:val="22"/>
        </w:rPr>
        <w:t xml:space="preserve"> for the </w:t>
      </w:r>
      <w:r>
        <w:rPr>
          <w:rFonts w:eastAsia="等线" w:ascii="Arial" w:cs="Arial" w:hAnsi="Arial"/>
          <w:i w:val="true"/>
          <w:sz w:val="22"/>
        </w:rPr>
        <w:t>Mind (Tâm)</w:t>
      </w:r>
      <w:r>
        <w:rPr>
          <w:rFonts w:eastAsia="等线" w:ascii="Arial" w:cs="Arial" w:hAnsi="Arial"/>
          <w:sz w:val="22"/>
        </w:rPr>
        <w:t>. Our Mandala Tokenomic cannot be speculated upon because it is anchored to both verifiable computational proof and verifiable spiritual transformation (attestations).</w:t>
      </w:r>
    </w:p>
    <w:p>
      <w:pPr>
        <w:pStyle w:val="4"/>
        <w:spacing w:before="260" w:after="120" w:line="288" w:lineRule="auto"/>
        <w:ind w:left="0"/>
        <w:jc w:val="left"/>
        <w:outlineLvl w:val="3"/>
      </w:pPr>
      <w:bookmarkStart w:name="heading_4" w:id="4"/>
      <w:r>
        <w:rPr>
          <w:rFonts w:eastAsia="等线" w:ascii="Arial" w:cs="Arial" w:hAnsi="Arial"/>
          <w:b w:val="true"/>
          <w:sz w:val="28"/>
        </w:rPr>
        <w:t>4.5. Primitives: What We Build on the Collective Supercomputer</w:t>
      </w:r>
      <w:bookmarkEnd w:id="4"/>
    </w:p>
    <w:p>
      <w:pPr>
        <w:spacing w:before="120" w:after="120" w:line="288" w:lineRule="auto"/>
        <w:ind w:left="0"/>
        <w:jc w:val="left"/>
      </w:pPr>
      <w:r>
        <w:rPr>
          <w:rFonts w:eastAsia="等线" w:ascii="Arial" w:cs="Arial" w:hAnsi="Arial"/>
          <w:sz w:val="22"/>
        </w:rPr>
        <w:t>We do not build our core functions from scratch. We construct our pillars by deploying tasks to the network's Universal Primitives.</w:t>
      </w:r>
    </w:p>
    <w:p>
      <w:pPr>
        <w:numPr>
          <w:numId w:val="8"/>
        </w:numPr>
        <w:spacing w:before="120" w:after="120" w:line="288" w:lineRule="auto"/>
        <w:ind w:left="0"/>
        <w:jc w:val="left"/>
      </w:pPr>
      <w:r>
        <w:rPr>
          <w:rFonts w:eastAsia="等线" w:ascii="Arial" w:cs="Arial" w:hAnsi="Arial"/>
          <w:b w:val="true"/>
          <w:sz w:val="22"/>
        </w:rPr>
        <w:t>4.5.1. Decentralized AI: The Threefold AI Vehicle (Tam Thừa AI)</w:t>
      </w:r>
      <w:r>
        <w:rPr>
          <w:rFonts w:eastAsia="等线" w:ascii="Arial" w:cs="Arial" w:hAnsi="Arial"/>
          <w:sz w:val="22"/>
        </w:rPr>
        <w:t xml:space="preserve"> The Giác Ngộ Assistants (Tâm An, Giác Ngộ, Đốn Ngộ) are not proprietary models on a central server. They are deployed as </w:t>
      </w:r>
      <w:r>
        <w:rPr>
          <w:rFonts w:eastAsia="等线" w:ascii="Arial" w:cs="Arial" w:hAnsi="Arial"/>
          <w:b w:val="true"/>
          <w:sz w:val="22"/>
        </w:rPr>
        <w:t>elastic inference micro-services</w:t>
      </w:r>
      <w:r>
        <w:rPr>
          <w:rFonts w:eastAsia="等线" w:ascii="Arial" w:cs="Arial" w:hAnsi="Arial"/>
          <w:sz w:val="22"/>
        </w:rPr>
        <w:t xml:space="preserve"> that scale to zero. Their wisdom is fine-tuned (e.g., </w:t>
      </w:r>
      <w:r>
        <w:rPr>
          <w:rFonts w:eastAsia="等线" w:ascii="Arial" w:cs="Arial" w:hAnsi="Arial"/>
          <w:b w:val="true"/>
          <w:sz w:val="22"/>
        </w:rPr>
        <w:t>LoRA / distributed fine-tuning</w:t>
      </w:r>
      <w:r>
        <w:rPr>
          <w:rFonts w:eastAsia="等线" w:ascii="Arial" w:cs="Arial" w:hAnsi="Arial"/>
          <w:sz w:val="22"/>
        </w:rPr>
        <w:t xml:space="preserve">) on the Dharma teachings using the pooled nodes. This is </w:t>
      </w:r>
      <w:r>
        <w:rPr>
          <w:rFonts w:eastAsia="等线" w:ascii="Arial" w:cs="Arial" w:hAnsi="Arial"/>
          <w:b w:val="true"/>
          <w:sz w:val="22"/>
        </w:rPr>
        <w:t>open-model friendly</w:t>
      </w:r>
      <w:r>
        <w:rPr>
          <w:rFonts w:eastAsia="等线" w:ascii="Arial" w:cs="Arial" w:hAnsi="Arial"/>
          <w:sz w:val="22"/>
        </w:rPr>
        <w:t xml:space="preserve"> (supporting HF, PyTorch, etc.) and makes the Dharma uncensorable.</w:t>
      </w:r>
    </w:p>
    <w:p>
      <w:pPr>
        <w:numPr>
          <w:numId w:val="9"/>
        </w:numPr>
        <w:spacing w:before="120" w:after="120" w:line="288" w:lineRule="auto"/>
        <w:ind w:left="0"/>
        <w:jc w:val="left"/>
      </w:pPr>
      <w:r>
        <w:rPr>
          <w:rFonts w:eastAsia="等线" w:ascii="Arial" w:cs="Arial" w:hAnsi="Arial"/>
          <w:b w:val="true"/>
          <w:sz w:val="22"/>
        </w:rPr>
        <w:t>4.5.2. Verifiable Storage: The Dharma Observatory (Đài Quan Sát Pháp)</w:t>
      </w:r>
      <w:r>
        <w:rPr>
          <w:rFonts w:eastAsia="等线" w:ascii="Arial" w:cs="Arial" w:hAnsi="Arial"/>
          <w:sz w:val="22"/>
        </w:rPr>
        <w:t xml:space="preserve"> The entire Library of Wisdom is stored using decentralized storage primitives. We use the network's </w:t>
      </w:r>
      <w:r>
        <w:rPr>
          <w:rFonts w:eastAsia="等线" w:ascii="Arial" w:cs="Arial" w:hAnsi="Arial"/>
          <w:b w:val="true"/>
          <w:sz w:val="22"/>
        </w:rPr>
        <w:t>media pipelines</w:t>
      </w:r>
      <w:r>
        <w:rPr>
          <w:rFonts w:eastAsia="等线" w:ascii="Arial" w:cs="Arial" w:hAnsi="Arial"/>
          <w:sz w:val="22"/>
        </w:rPr>
        <w:t xml:space="preserve"> (for transcription, translation, and vision) and </w:t>
      </w:r>
      <w:r>
        <w:rPr>
          <w:rFonts w:eastAsia="等线" w:ascii="Arial" w:cs="Arial" w:hAnsi="Arial"/>
          <w:b w:val="true"/>
          <w:sz w:val="22"/>
        </w:rPr>
        <w:t>RAG at scale</w:t>
      </w:r>
      <w:r>
        <w:rPr>
          <w:rFonts w:eastAsia="等线" w:ascii="Arial" w:cs="Arial" w:hAnsi="Arial"/>
          <w:sz w:val="22"/>
        </w:rPr>
        <w:t xml:space="preserve"> (crawl, embed, index) to make all Dharma talks searchable and accessible to the AI Assistants, ensuring the timeless teachings are preserved perpetually.</w:t>
      </w:r>
    </w:p>
    <w:p>
      <w:pPr>
        <w:numPr>
          <w:numId w:val="10"/>
        </w:numPr>
        <w:spacing w:before="120" w:after="120" w:line="288" w:lineRule="auto"/>
        <w:ind w:left="0"/>
        <w:jc w:val="left"/>
      </w:pPr>
      <w:r>
        <w:rPr>
          <w:rFonts w:eastAsia="等线" w:ascii="Arial" w:cs="Arial" w:hAnsi="Arial"/>
          <w:b w:val="true"/>
          <w:sz w:val="22"/>
        </w:rPr>
        <w:t>4.5.3. Trustless Reputation: The Awakened DAO (DAO Giác Ngộ)</w:t>
      </w:r>
      <w:r>
        <w:rPr>
          <w:rFonts w:eastAsia="等线" w:ascii="Arial" w:cs="Arial" w:hAnsi="Arial"/>
          <w:sz w:val="22"/>
        </w:rPr>
        <w:t xml:space="preserve"> Our governance system is anchored to the </w:t>
      </w:r>
      <w:r>
        <w:rPr>
          <w:rFonts w:eastAsia="等线" w:ascii="Arial" w:cs="Arial" w:hAnsi="Arial"/>
          <w:b w:val="true"/>
          <w:sz w:val="22"/>
        </w:rPr>
        <w:t>verifiable pipelines</w:t>
      </w:r>
      <w:r>
        <w:rPr>
          <w:rFonts w:eastAsia="等线" w:ascii="Arial" w:cs="Arial" w:hAnsi="Arial"/>
          <w:sz w:val="22"/>
        </w:rPr>
        <w:t xml:space="preserve"> of the network. When a user performs a merit-generating action (verified by our Merit Protocol), that action is recorded via the Mandala Ledger and receives a verifiable </w:t>
      </w:r>
      <w:r>
        <w:rPr>
          <w:rFonts w:eastAsia="等线" w:ascii="Arial" w:cs="Arial" w:hAnsi="Arial"/>
          <w:b w:val="true"/>
          <w:sz w:val="22"/>
        </w:rPr>
        <w:t>attestation</w:t>
      </w:r>
      <w:r>
        <w:rPr>
          <w:rFonts w:eastAsia="等线" w:ascii="Arial" w:cs="Arial" w:hAnsi="Arial"/>
          <w:sz w:val="22"/>
        </w:rPr>
        <w:t>. This creates a truly trustless governance system, where the Dao Token is a transparent record of merit, not a tradable financial asset.</w:t>
      </w:r>
    </w:p>
    <w:p>
      <w:pPr>
        <w:pStyle w:val="4"/>
        <w:spacing w:before="260" w:after="120" w:line="288" w:lineRule="auto"/>
        <w:ind w:left="0"/>
        <w:jc w:val="left"/>
        <w:outlineLvl w:val="3"/>
      </w:pPr>
      <w:bookmarkStart w:name="heading_5" w:id="5"/>
      <w:r>
        <w:rPr>
          <w:rFonts w:eastAsia="等线" w:ascii="Arial" w:cs="Arial" w:hAnsi="Arial"/>
          <w:b w:val="true"/>
          <w:sz w:val="28"/>
        </w:rPr>
        <w:t>4.6. Privacy by Dharma (Leveraging Consent-First Data)</w:t>
      </w:r>
      <w:bookmarkEnd w:id="5"/>
    </w:p>
    <w:p>
      <w:pPr>
        <w:spacing w:before="120" w:after="120" w:line="288" w:lineRule="auto"/>
        <w:ind w:left="0"/>
        <w:jc w:val="left"/>
      </w:pPr>
      <w:r>
        <w:rPr>
          <w:rFonts w:eastAsia="等线" w:ascii="Arial" w:cs="Arial" w:hAnsi="Arial"/>
          <w:sz w:val="22"/>
        </w:rPr>
        <w:t xml:space="preserve">Our platform adheres to the "Privacy by Dharma" principle. Because we do not rely on central servers, there is no data mining. We leverage the network's </w:t>
      </w:r>
      <w:r>
        <w:rPr>
          <w:rFonts w:eastAsia="等线" w:ascii="Arial" w:cs="Arial" w:hAnsi="Arial"/>
          <w:b w:val="true"/>
          <w:sz w:val="22"/>
        </w:rPr>
        <w:t>consent-first data access</w:t>
      </w:r>
      <w:r>
        <w:rPr>
          <w:rFonts w:eastAsia="等线" w:ascii="Arial" w:cs="Arial" w:hAnsi="Arial"/>
          <w:sz w:val="22"/>
        </w:rPr>
        <w:t xml:space="preserve"> model.</w:t>
      </w:r>
    </w:p>
    <w:p>
      <w:pPr>
        <w:spacing w:before="120" w:after="120" w:line="288" w:lineRule="auto"/>
        <w:ind w:left="0"/>
        <w:jc w:val="left"/>
      </w:pPr>
      <w:r>
        <w:rPr>
          <w:rFonts w:eastAsia="等线" w:ascii="Arial" w:cs="Arial" w:hAnsi="Arial"/>
          <w:sz w:val="22"/>
        </w:rPr>
        <w:t xml:space="preserve">We will never bypass paywalls or violate privacy. For our Sangha partners, </w:t>
      </w:r>
      <w:r>
        <w:rPr>
          <w:rFonts w:eastAsia="等线" w:ascii="Arial" w:cs="Arial" w:hAnsi="Arial"/>
          <w:b w:val="true"/>
          <w:sz w:val="22"/>
        </w:rPr>
        <w:t>privacy- and region-aware processing</w:t>
      </w:r>
      <w:r>
        <w:rPr>
          <w:rFonts w:eastAsia="等线" w:ascii="Arial" w:cs="Arial" w:hAnsi="Arial"/>
          <w:sz w:val="22"/>
        </w:rPr>
        <w:t xml:space="preserve"> ensures that sensitive data (e.g., PII or EU-only data) remains within its allowed jurisdiction, running transforms locally and exporting only anonymized artifacts. User data is sovereign. True practice cannot coexist with surveillance capitalism.</w:t>
      </w:r>
    </w:p>
    <w:p>
      <w:pPr>
        <w:numPr>
          <w:numId w:val="11"/>
        </w:numPr>
        <w:spacing w:before="120" w:after="120" w:line="288" w:lineRule="auto"/>
        <w:ind w:left="0"/>
        <w:jc w:val="left"/>
      </w:pPr>
      <w:r>
        <w:rPr>
          <w:rFonts w:eastAsia="等线" w:ascii="Arial" w:cs="Arial" w:hAnsi="Arial"/>
          <w:b w:val="true"/>
          <w:sz w:val="22"/>
        </w:rPr>
        <w:t>The Architecture of Awakened Technology (Kiến Trúc của Công Nghệ Thức Tỉnh - The Giác Ngộ Tech Stack)</w:t>
      </w:r>
    </w:p>
    <w:p>
      <w:pPr>
        <w:pStyle w:val="4"/>
        <w:spacing w:before="260" w:after="120" w:line="288" w:lineRule="auto"/>
        <w:ind w:left="0"/>
        <w:jc w:val="left"/>
        <w:outlineLvl w:val="3"/>
      </w:pPr>
      <w:bookmarkStart w:name="heading_6" w:id="6"/>
      <w:r>
        <w:rPr>
          <w:rFonts w:eastAsia="等线" w:ascii="Arial" w:cs="Arial" w:hAnsi="Arial"/>
          <w:b w:val="true"/>
          <w:sz w:val="28"/>
        </w:rPr>
        <w:t>4.1. Vision &amp; Mission (Tầm Nhìn &amp; Sứ Mệnh)</w:t>
      </w:r>
      <w:bookmarkEnd w:id="6"/>
    </w:p>
    <w:p>
      <w:pPr>
        <w:numPr>
          <w:numId w:val="12"/>
        </w:numPr>
        <w:spacing w:before="120" w:after="120" w:line="288" w:lineRule="auto"/>
        <w:ind w:left="0"/>
        <w:jc w:val="left"/>
      </w:pPr>
      <w:r>
        <w:rPr>
          <w:rFonts w:eastAsia="等线" w:ascii="Arial" w:cs="Arial" w:hAnsi="Arial"/>
          <w:b w:val="true"/>
          <w:sz w:val="22"/>
        </w:rPr>
        <w:t>Tầm Nhìn:</w:t>
      </w:r>
      <w:r>
        <w:rPr>
          <w:rFonts w:eastAsia="等线" w:ascii="Arial" w:cs="Arial" w:hAnsi="Arial"/>
          <w:sz w:val="22"/>
        </w:rPr>
        <w:t xml:space="preserve"> Trở thành cộng đồng kỹ thuật số đầu tiên, sâu sắc nhất thế giới, nơi tâm linh gặp gỡ công nghệ; nơi mọi tương tác, mọi tuệ giác được chia sẻ, đều là cơ hội để tạo ra Công Đức Vô Lậu và thúc đẩy sự tỉnh thức tập thể.</w:t>
      </w:r>
    </w:p>
    <w:p>
      <w:pPr>
        <w:numPr>
          <w:numId w:val="13"/>
        </w:numPr>
        <w:spacing w:before="120" w:after="120" w:line="288" w:lineRule="auto"/>
        <w:ind w:left="0"/>
        <w:jc w:val="left"/>
      </w:pPr>
      <w:r>
        <w:rPr>
          <w:rFonts w:eastAsia="等线" w:ascii="Arial" w:cs="Arial" w:hAnsi="Arial"/>
          <w:b w:val="true"/>
          <w:sz w:val="22"/>
        </w:rPr>
        <w:t>Sứ Mệnh:</w:t>
      </w:r>
      <w:r>
        <w:rPr>
          <w:rFonts w:eastAsia="等线" w:ascii="Arial" w:cs="Arial" w:hAnsi="Arial"/>
          <w:sz w:val="22"/>
        </w:rPr>
        <w:t xml:space="preserve"> Cung cấp các công cụ, lời dạy, và một cộng đồng nuôi dưỡng để hỗ trợ các cá nhân và Tăng Đoàn (cộng đồng tâm linh) trên hành trình giác ngộ. Làm sáng tỏ Công Đức (Vô Lậu) và biến nó thành thước đo trung tâm của một nền văn minh mới, ý thức hơn. Xây dựng liên minh với tất cả các truyền thống tôn vinh cùng một Chân Lý Bất Nhị.</w:t>
      </w:r>
    </w:p>
    <w:p>
      <w:pPr>
        <w:pStyle w:val="4"/>
        <w:spacing w:before="260" w:after="120" w:line="288" w:lineRule="auto"/>
        <w:ind w:left="0"/>
        <w:jc w:val="left"/>
        <w:outlineLvl w:val="3"/>
      </w:pPr>
      <w:bookmarkStart w:name="heading_7" w:id="7"/>
      <w:r>
        <w:rPr>
          <w:rFonts w:eastAsia="等线" w:ascii="Arial" w:cs="Arial" w:hAnsi="Arial"/>
          <w:b w:val="true"/>
          <w:sz w:val="28"/>
        </w:rPr>
        <w:t>4.2. Foundation: The Collective Compute Mandala (Nền Tảng: Mandala Tính Toán Tập Thể)</w:t>
      </w:r>
      <w:bookmarkEnd w:id="7"/>
    </w:p>
    <w:p>
      <w:pPr>
        <w:spacing w:before="120" w:after="120" w:line="288" w:lineRule="auto"/>
        <w:ind w:left="0"/>
        <w:jc w:val="left"/>
      </w:pPr>
      <w:r>
        <w:rPr>
          <w:rFonts w:eastAsia="等线" w:ascii="Arial" w:cs="Arial" w:hAnsi="Arial"/>
          <w:sz w:val="22"/>
        </w:rPr>
        <w:t xml:space="preserve">Hệ Sinh Thái Giác Ngộ được xây dựng trên một </w:t>
      </w:r>
      <w:r>
        <w:rPr>
          <w:rFonts w:eastAsia="等线" w:ascii="Arial" w:cs="Arial" w:hAnsi="Arial"/>
          <w:b w:val="true"/>
          <w:sz w:val="22"/>
        </w:rPr>
        <w:t>mạng lưới toàn cầu gồm các nút tính toán phi tập trung ngoài chuỗi (decentralized off-chain computation nodes)</w:t>
      </w:r>
      <w:r>
        <w:rPr>
          <w:rFonts w:eastAsia="等线" w:ascii="Arial" w:cs="Arial" w:hAnsi="Arial"/>
          <w:sz w:val="22"/>
        </w:rPr>
        <w:t>, hoạt động như một siêu máy tính tập thể.</w:t>
      </w:r>
    </w:p>
    <w:p>
      <w:pPr>
        <w:spacing w:before="120" w:after="120" w:line="288" w:lineRule="auto"/>
        <w:ind w:left="0"/>
        <w:jc w:val="left"/>
      </w:pPr>
      <w:r>
        <w:rPr>
          <w:rFonts w:eastAsia="等线" w:ascii="Arial" w:cs="Arial" w:hAnsi="Arial"/>
          <w:sz w:val="22"/>
        </w:rPr>
        <w:t>Triết lý của chúng ta bắt đầu bằng việc từ chối các nền tảng tập trung. "Căn Bệnh của Thời Đại Kỹ Thuật Số" được thúc đẩy bởi các cụm GPU tập trung (như AWS, Google Cloud) vốn được thiết kế để "thu hoạch tâm trí con người" như một món hàng. Để xây dựng một "con thuyền kỹ thuật số thiêng liêng," chúng ta phải xây dựng trên một nền tảng không có một thực thể cai trị duy nhất. Hạ tầng phi tập trung này cung cấp nền tảng kỹ thuật hoàn hảo, song hành với triết lý của chúng ta:</w:t>
      </w:r>
    </w:p>
    <w:p>
      <w:pPr>
        <w:numPr>
          <w:numId w:val="14"/>
        </w:numPr>
        <w:spacing w:before="120" w:after="120" w:line="288" w:lineRule="auto"/>
        <w:ind w:left="0"/>
        <w:jc w:val="left"/>
      </w:pPr>
      <w:r>
        <w:rPr>
          <w:rFonts w:eastAsia="等线" w:ascii="Arial" w:cs="Arial" w:hAnsi="Arial"/>
          <w:b w:val="true"/>
          <w:sz w:val="22"/>
        </w:rPr>
        <w:t>Phá vỡ sự tập trung (Phá Chấp Ngã):</w:t>
      </w:r>
      <w:r>
        <w:rPr>
          <w:rFonts w:eastAsia="等线" w:ascii="Arial" w:cs="Arial" w:hAnsi="Arial"/>
          <w:sz w:val="22"/>
        </w:rPr>
        <w:t xml:space="preserve"> Bằng cách tận dụng khả năng tính toán gộp (pooled) của các nút độc lập do người dùng vận hành, chúng ta phá vỡ sự phụ thuộc vào các máy chủ trung tâm, cũng như Giác Ngộ phá vỡ sự phụ thuộc vào "ngã thế gian."</w:t>
      </w:r>
    </w:p>
    <w:p>
      <w:pPr>
        <w:numPr>
          <w:numId w:val="15"/>
        </w:numPr>
        <w:spacing w:before="120" w:after="120" w:line="288" w:lineRule="auto"/>
        <w:ind w:left="0"/>
        <w:jc w:val="left"/>
      </w:pPr>
      <w:r>
        <w:rPr>
          <w:rFonts w:eastAsia="等线" w:ascii="Arial" w:cs="Arial" w:hAnsi="Arial"/>
          <w:b w:val="true"/>
          <w:sz w:val="22"/>
        </w:rPr>
        <w:t>Khả năng mở rộng co giãn (Pháp Thân Biến Mãn):</w:t>
      </w:r>
      <w:r>
        <w:rPr>
          <w:rFonts w:eastAsia="等线" w:ascii="Arial" w:cs="Arial" w:hAnsi="Arial"/>
          <w:sz w:val="22"/>
        </w:rPr>
        <w:t xml:space="preserve"> Nền tảng này có tính co giãn theo mặc định. Nó có thể bùng nổ ngay lập tức trên hàng ngàn nút cho các tác vụ nặng (như huấn luyện AI) và, quan trọng nhất, </w:t>
      </w:r>
      <w:r>
        <w:rPr>
          <w:rFonts w:eastAsia="等线" w:ascii="Arial" w:cs="Arial" w:hAnsi="Arial"/>
          <w:b w:val="true"/>
          <w:sz w:val="22"/>
        </w:rPr>
        <w:t>thu hẹp về không (scale to zero)</w:t>
      </w:r>
      <w:r>
        <w:rPr>
          <w:rFonts w:eastAsia="等线" w:ascii="Arial" w:cs="Arial" w:hAnsi="Arial"/>
          <w:sz w:val="22"/>
        </w:rPr>
        <w:t xml:space="preserve"> khi không hoạt động. Điều này phản ánh bản chất của Tâm: hiện hữu mạnh mẽ khi cần, tĩnh lặng hoàn hảo khi không.</w:t>
      </w:r>
    </w:p>
    <w:p>
      <w:pPr>
        <w:numPr>
          <w:numId w:val="16"/>
        </w:numPr>
        <w:spacing w:before="120" w:after="120" w:line="288" w:lineRule="auto"/>
        <w:ind w:left="0"/>
        <w:jc w:val="left"/>
      </w:pPr>
      <w:r>
        <w:rPr>
          <w:rFonts w:eastAsia="等线" w:ascii="Arial" w:cs="Arial" w:hAnsi="Arial"/>
          <w:b w:val="true"/>
          <w:sz w:val="22"/>
        </w:rPr>
        <w:t>Các Nguyên thủy Bền vững (Tận Dụng Duyên Lành):</w:t>
      </w:r>
      <w:r>
        <w:rPr>
          <w:rFonts w:eastAsia="等线" w:ascii="Arial" w:cs="Arial" w:hAnsi="Arial"/>
          <w:sz w:val="22"/>
        </w:rPr>
        <w:t xml:space="preserve"> Mạng lưới tận dụng sức mạnh tính toán nhàn rỗi, sử dụng các tài nguyên hiện có thường bị bỏ phí. Nguyên tắc không lãng phí này làm giảm tổng năng lượng cho mỗi tác vụ hữu ích và phù hợp với Chánh Pháp, biến tiềm năng tiềm ẩn (duyên) của thế giới thành một công cụ để thức tỉnh.</w:t>
      </w:r>
    </w:p>
    <w:p>
      <w:pPr>
        <w:pStyle w:val="4"/>
        <w:spacing w:before="260" w:after="120" w:line="288" w:lineRule="auto"/>
        <w:ind w:left="0"/>
        <w:jc w:val="left"/>
        <w:outlineLvl w:val="3"/>
      </w:pPr>
      <w:bookmarkStart w:name="heading_8" w:id="8"/>
      <w:r>
        <w:rPr>
          <w:rFonts w:eastAsia="等线" w:ascii="Arial" w:cs="Arial" w:hAnsi="Arial"/>
          <w:b w:val="true"/>
          <w:sz w:val="28"/>
        </w:rPr>
        <w:t>4.3. Protocol Layer 1: The Mandala Ledger (Tận dụng Sổ cái Ngoài chuỗi Có thể Kiểm chứng)</w:t>
      </w:r>
      <w:bookmarkEnd w:id="8"/>
    </w:p>
    <w:p>
      <w:pPr>
        <w:spacing w:before="120" w:after="120" w:line="288" w:lineRule="auto"/>
        <w:ind w:left="0"/>
        <w:jc w:val="left"/>
      </w:pPr>
      <w:r>
        <w:rPr>
          <w:rFonts w:eastAsia="等线" w:ascii="Arial" w:cs="Arial" w:hAnsi="Arial"/>
          <w:sz w:val="22"/>
        </w:rPr>
        <w:t>Dòng Chảy Tỉnh Thức, Thư Viện Pháp, và hồ sơ công đức của mỗi hành giả tạo ra một lượng dữ liệu khổng lồ không thể lưu trữ toàn bộ trên chuỗi (on-chain).</w:t>
      </w:r>
    </w:p>
    <w:p>
      <w:pPr>
        <w:spacing w:before="120" w:after="120" w:line="288" w:lineRule="auto"/>
        <w:ind w:left="0"/>
        <w:jc w:val="left"/>
      </w:pPr>
      <w:r>
        <w:rPr>
          <w:rFonts w:eastAsia="等线" w:ascii="Arial" w:cs="Arial" w:hAnsi="Arial"/>
          <w:sz w:val="22"/>
        </w:rPr>
        <w:t xml:space="preserve">Chúng ta tận dụng các </w:t>
      </w:r>
      <w:r>
        <w:rPr>
          <w:rFonts w:eastAsia="等线" w:ascii="Arial" w:cs="Arial" w:hAnsi="Arial"/>
          <w:b w:val="true"/>
          <w:sz w:val="22"/>
        </w:rPr>
        <w:t>sổ cái ngoài chuỗi có thể kiểm chứng (verifiable off-chain ledgers)</w:t>
      </w:r>
      <w:r>
        <w:rPr>
          <w:rFonts w:eastAsia="等线" w:ascii="Arial" w:cs="Arial" w:hAnsi="Arial"/>
          <w:sz w:val="22"/>
        </w:rPr>
        <w:t xml:space="preserve">. Toàn bộ lịch sử chia sẻ trí tuệ, các bài pháp thoại, và các hành động tạo công đức được tổ chức dưới dạng cấu trúc Dữ liệu Đồ thị Không Tuần hoàn (Acyclic Data - DAG). Những cấu trúc này sau đó được neo (anchored) một cách đáng tin cậy vào blockchain, tạo ra </w:t>
      </w:r>
      <w:r>
        <w:rPr>
          <w:rFonts w:eastAsia="等线" w:ascii="Arial" w:cs="Arial" w:hAnsi="Arial"/>
          <w:b w:val="true"/>
          <w:sz w:val="22"/>
        </w:rPr>
        <w:t>"các đường ray có thể kiểm chứng" (verifiable rails)</w:t>
      </w:r>
      <w:r>
        <w:rPr>
          <w:rFonts w:eastAsia="等线" w:ascii="Arial" w:cs="Arial" w:hAnsi="Arial"/>
          <w:sz w:val="22"/>
        </w:rPr>
        <w:t xml:space="preserve"> cho hệ sinh thái của chúng ta.</w:t>
      </w:r>
    </w:p>
    <w:p>
      <w:pPr>
        <w:spacing w:before="120" w:after="120" w:line="288" w:lineRule="auto"/>
        <w:ind w:left="0"/>
        <w:jc w:val="left"/>
      </w:pPr>
      <w:r>
        <w:rPr>
          <w:rFonts w:eastAsia="等线" w:ascii="Arial" w:cs="Arial" w:hAnsi="Arial"/>
          <w:sz w:val="22"/>
        </w:rPr>
        <w:t xml:space="preserve">Điều này cho phép Giác Ngộ duy trì một bản ghi bất biến về trí tuệ tập thể và lịch sử công đức—chính là </w:t>
      </w:r>
      <w:r>
        <w:rPr>
          <w:rFonts w:eastAsia="等线" w:ascii="Arial" w:cs="Arial" w:hAnsi="Arial"/>
          <w:b w:val="true"/>
          <w:sz w:val="22"/>
        </w:rPr>
        <w:t>Mandala Ledger (Sổ cái Mandala)</w:t>
      </w:r>
      <w:r>
        <w:rPr>
          <w:rFonts w:eastAsia="等线" w:ascii="Arial" w:cs="Arial" w:hAnsi="Arial"/>
          <w:sz w:val="22"/>
        </w:rPr>
        <w:t xml:space="preserve"> của chúng ta—mà không phải hy sinh tốc độ hay chi phí.</w:t>
      </w:r>
    </w:p>
    <w:p>
      <w:pPr>
        <w:pStyle w:val="4"/>
        <w:spacing w:before="260" w:after="120" w:line="288" w:lineRule="auto"/>
        <w:ind w:left="0"/>
        <w:jc w:val="left"/>
        <w:outlineLvl w:val="3"/>
      </w:pPr>
      <w:bookmarkStart w:name="heading_9" w:id="9"/>
      <w:r>
        <w:rPr>
          <w:rFonts w:eastAsia="等线" w:ascii="Arial" w:cs="Arial" w:hAnsi="Arial"/>
          <w:b w:val="true"/>
          <w:sz w:val="28"/>
        </w:rPr>
        <w:t>4.4. Protocol Layer 2: Merit Attribution Protocol (Giao thức Ghi nhận Công Đức - Phần Mở rộng Tâm linh của Tính toán Có thể Kiểm chứng)</w:t>
      </w:r>
      <w:bookmarkEnd w:id="9"/>
    </w:p>
    <w:p>
      <w:pPr>
        <w:spacing w:before="120" w:after="120" w:line="288" w:lineRule="auto"/>
        <w:ind w:left="0"/>
        <w:jc w:val="left"/>
      </w:pPr>
      <w:r>
        <w:rPr>
          <w:rFonts w:eastAsia="等线" w:ascii="Arial" w:cs="Arial" w:hAnsi="Arial"/>
          <w:sz w:val="22"/>
        </w:rPr>
        <w:t xml:space="preserve">Nền kinh tế của mạng lưới được xây dựng trên một giao thức để </w:t>
      </w:r>
      <w:r>
        <w:rPr>
          <w:rFonts w:eastAsia="等线" w:ascii="Arial" w:cs="Arial" w:hAnsi="Arial"/>
          <w:b w:val="true"/>
          <w:sz w:val="22"/>
        </w:rPr>
        <w:t>ghi nhận và đánh giá danh tiếng tính toán (compute attribution and reputation)</w:t>
      </w:r>
      <w:r>
        <w:rPr>
          <w:rFonts w:eastAsia="等线" w:ascii="Arial" w:cs="Arial" w:hAnsi="Arial"/>
          <w:sz w:val="22"/>
        </w:rPr>
        <w:t>—một tiêu chuẩn phổ quát để khen thưởng các nút dựa trên bằng chứng tính toán có thể kiểm chứng.</w:t>
      </w:r>
    </w:p>
    <w:p>
      <w:pPr>
        <w:spacing w:before="120" w:after="120" w:line="288" w:lineRule="auto"/>
        <w:ind w:left="0"/>
        <w:jc w:val="left"/>
      </w:pPr>
      <w:r>
        <w:rPr>
          <w:rFonts w:eastAsia="等线" w:ascii="Arial" w:cs="Arial" w:hAnsi="Arial"/>
          <w:sz w:val="22"/>
        </w:rPr>
        <w:t xml:space="preserve">Hệ Sinh Thái Giác Ngộ mở rộng triết lý này lên một tầng cao hơn, tạo ra </w:t>
      </w:r>
      <w:r>
        <w:rPr>
          <w:rFonts w:eastAsia="等线" w:ascii="Arial" w:cs="Arial" w:hAnsi="Arial"/>
          <w:b w:val="true"/>
          <w:sz w:val="22"/>
        </w:rPr>
        <w:t>Merit Attribution Protocol (Giao thức Ghi nhận Công Đức)</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b w:val="true"/>
          <w:sz w:val="22"/>
        </w:rPr>
        <w:t>Giao thức Tính toán (Lớp Kỹ thuật):</w:t>
      </w:r>
      <w:r>
        <w:rPr>
          <w:rFonts w:eastAsia="等线" w:ascii="Arial" w:cs="Arial" w:hAnsi="Arial"/>
          <w:sz w:val="22"/>
        </w:rPr>
        <w:t xml:space="preserve"> Xác minh các hành động </w:t>
      </w:r>
      <w:r>
        <w:rPr>
          <w:rFonts w:eastAsia="等线" w:ascii="Arial" w:cs="Arial" w:hAnsi="Arial"/>
          <w:i w:val="true"/>
          <w:sz w:val="22"/>
        </w:rPr>
        <w:t>kỹ thuật</w:t>
      </w:r>
      <w:r>
        <w:rPr>
          <w:rFonts w:eastAsia="等线" w:ascii="Arial" w:cs="Arial" w:hAnsi="Arial"/>
          <w:sz w:val="22"/>
        </w:rPr>
        <w:t>. Ví dụ: "Nút này có thực sự lưu trữ và phục vụ bài pháp thoại này không?"</w:t>
      </w:r>
    </w:p>
    <w:p>
      <w:pPr>
        <w:numPr>
          <w:numId w:val="18"/>
        </w:numPr>
        <w:spacing w:before="120" w:after="120" w:line="288" w:lineRule="auto"/>
        <w:ind w:left="0"/>
        <w:jc w:val="left"/>
      </w:pPr>
      <w:r>
        <w:rPr>
          <w:rFonts w:eastAsia="等线" w:ascii="Arial" w:cs="Arial" w:hAnsi="Arial"/>
          <w:b w:val="true"/>
          <w:sz w:val="22"/>
        </w:rPr>
        <w:t>Giao thức Công Đức (Lớp Tâm linh):</w:t>
      </w:r>
      <w:r>
        <w:rPr>
          <w:rFonts w:eastAsia="等线" w:ascii="Arial" w:cs="Arial" w:hAnsi="Arial"/>
          <w:sz w:val="22"/>
        </w:rPr>
        <w:t xml:space="preserve"> Xác minh </w:t>
      </w:r>
      <w:r>
        <w:rPr>
          <w:rFonts w:eastAsia="等线" w:ascii="Arial" w:cs="Arial" w:hAnsi="Arial"/>
          <w:i w:val="true"/>
          <w:sz w:val="22"/>
        </w:rPr>
        <w:t>ý định</w:t>
      </w:r>
      <w:r>
        <w:rPr>
          <w:rFonts w:eastAsia="等线" w:ascii="Arial" w:cs="Arial" w:hAnsi="Arial"/>
          <w:sz w:val="22"/>
        </w:rPr>
        <w:t xml:space="preserve"> và </w:t>
      </w:r>
      <w:r>
        <w:rPr>
          <w:rFonts w:eastAsia="等线" w:ascii="Arial" w:cs="Arial" w:hAnsi="Arial"/>
          <w:i w:val="true"/>
          <w:sz w:val="22"/>
        </w:rPr>
        <w:t>chất lượng</w:t>
      </w:r>
      <w:r>
        <w:rPr>
          <w:rFonts w:eastAsia="等线" w:ascii="Arial" w:cs="Arial" w:hAnsi="Arial"/>
          <w:sz w:val="22"/>
        </w:rPr>
        <w:t xml:space="preserve"> của một hành động. Ví dụ: "Hành động 'Like' (thích) này có chánh niệm không?" "Hành động 'Unraveling' (Tháo Gỡ) NFT Badge này có phải là một hành động buông bỏ thật sự không?"</w:t>
      </w:r>
    </w:p>
    <w:p>
      <w:pPr>
        <w:spacing w:before="120" w:after="120" w:line="288" w:lineRule="auto"/>
        <w:ind w:left="0"/>
        <w:jc w:val="left"/>
      </w:pPr>
      <w:r>
        <w:rPr>
          <w:rFonts w:eastAsia="等线" w:ascii="Arial" w:cs="Arial" w:hAnsi="Arial"/>
          <w:sz w:val="22"/>
        </w:rPr>
        <w:t xml:space="preserve">Giao thức của mạng lưới cung cấp </w:t>
      </w:r>
      <w:r>
        <w:rPr>
          <w:rFonts w:eastAsia="等线" w:ascii="Arial" w:cs="Arial" w:hAnsi="Arial"/>
          <w:b w:val="true"/>
          <w:sz w:val="22"/>
        </w:rPr>
        <w:t>sự tin cậy (trustlessness)</w:t>
      </w:r>
      <w:r>
        <w:rPr>
          <w:rFonts w:eastAsia="等线" w:ascii="Arial" w:cs="Arial" w:hAnsi="Arial"/>
          <w:sz w:val="22"/>
        </w:rPr>
        <w:t xml:space="preserve"> cho </w:t>
      </w:r>
      <w:r>
        <w:rPr>
          <w:rFonts w:eastAsia="等线" w:ascii="Arial" w:cs="Arial" w:hAnsi="Arial"/>
          <w:i w:val="true"/>
          <w:sz w:val="22"/>
        </w:rPr>
        <w:t>phần cứng</w:t>
      </w:r>
      <w:r>
        <w:rPr>
          <w:rFonts w:eastAsia="等线" w:ascii="Arial" w:cs="Arial" w:hAnsi="Arial"/>
          <w:sz w:val="22"/>
        </w:rPr>
        <w:t xml:space="preserve">. Giao thức Công Đức của chúng ta cung cấp </w:t>
      </w:r>
      <w:r>
        <w:rPr>
          <w:rFonts w:eastAsia="等线" w:ascii="Arial" w:cs="Arial" w:hAnsi="Arial"/>
          <w:b w:val="true"/>
          <w:sz w:val="22"/>
        </w:rPr>
        <w:t>sự minh bạch (transparency)</w:t>
      </w:r>
      <w:r>
        <w:rPr>
          <w:rFonts w:eastAsia="等线" w:ascii="Arial" w:cs="Arial" w:hAnsi="Arial"/>
          <w:sz w:val="22"/>
        </w:rPr>
        <w:t xml:space="preserve"> cho </w:t>
      </w:r>
      <w:r>
        <w:rPr>
          <w:rFonts w:eastAsia="等线" w:ascii="Arial" w:cs="Arial" w:hAnsi="Arial"/>
          <w:i w:val="true"/>
          <w:sz w:val="22"/>
        </w:rPr>
        <w:t>Tâm</w:t>
      </w:r>
      <w:r>
        <w:rPr>
          <w:rFonts w:eastAsia="等线" w:ascii="Arial" w:cs="Arial" w:hAnsi="Arial"/>
          <w:sz w:val="22"/>
        </w:rPr>
        <w:t>. Mandala Tokenomic của chúng ta không thể bị đầu cơ vì nó được neo vào cả bằng chứng tính toán có thể kiểm chứng và bằng chứng chuyển hóa tâm linh có thể xác thực (attestations).</w:t>
      </w:r>
    </w:p>
    <w:p>
      <w:pPr>
        <w:pStyle w:val="4"/>
        <w:spacing w:before="260" w:after="120" w:line="288" w:lineRule="auto"/>
        <w:ind w:left="0"/>
        <w:jc w:val="left"/>
        <w:outlineLvl w:val="3"/>
      </w:pPr>
      <w:bookmarkStart w:name="heading_10" w:id="10"/>
      <w:r>
        <w:rPr>
          <w:rFonts w:eastAsia="等线" w:ascii="Arial" w:cs="Arial" w:hAnsi="Arial"/>
          <w:b w:val="true"/>
          <w:sz w:val="28"/>
        </w:rPr>
        <w:t>4.5. Primitives: What We Build on the Collective Supercomputer (Các Nguyên thủy: Chúng ta Xây dựng Gì trên Siêu máy tính Tập thể)</w:t>
      </w:r>
      <w:bookmarkEnd w:id="10"/>
    </w:p>
    <w:p>
      <w:pPr>
        <w:spacing w:before="120" w:after="120" w:line="288" w:lineRule="auto"/>
        <w:ind w:left="0"/>
        <w:jc w:val="left"/>
      </w:pPr>
      <w:r>
        <w:rPr>
          <w:rFonts w:eastAsia="等线" w:ascii="Arial" w:cs="Arial" w:hAnsi="Arial"/>
          <w:sz w:val="22"/>
        </w:rPr>
        <w:t>Chúng ta không tự xây dựng mọi chức năng cốt lõi từ đầu. Chúng ta xây dựng các trụ cột của mình bằng cách triển khai các tác vụ (tasks) lên các Nguyên thủy Phổ quát (Universal Primitives) của mạng lưới.</w:t>
      </w:r>
    </w:p>
    <w:p>
      <w:pPr>
        <w:numPr>
          <w:numId w:val="19"/>
        </w:numPr>
        <w:spacing w:before="120" w:after="120" w:line="288" w:lineRule="auto"/>
        <w:ind w:left="0"/>
        <w:jc w:val="left"/>
      </w:pPr>
      <w:r>
        <w:rPr>
          <w:rFonts w:eastAsia="等线" w:ascii="Arial" w:cs="Arial" w:hAnsi="Arial"/>
          <w:b w:val="true"/>
          <w:sz w:val="22"/>
        </w:rPr>
        <w:t>4.5.1. Decentralized AI: The Threefold AI Vehicle (AI Phi tập trung: Tam Thừa AI)</w:t>
      </w:r>
      <w:r>
        <w:rPr>
          <w:rFonts w:eastAsia="等线" w:ascii="Arial" w:cs="Arial" w:hAnsi="Arial"/>
          <w:sz w:val="22"/>
        </w:rPr>
        <w:t xml:space="preserve"> Các Trợ lý Giác Ngộ (Tâm An, Giác Ngộ, Đốn Ngộ) không phải là các mô hình độc quyền trên máy chủ trung tâm. Chúng được triển khai dưới dạng các </w:t>
      </w:r>
      <w:r>
        <w:rPr>
          <w:rFonts w:eastAsia="等线" w:ascii="Arial" w:cs="Arial" w:hAnsi="Arial"/>
          <w:b w:val="true"/>
          <w:sz w:val="22"/>
        </w:rPr>
        <w:t>dịch vụ vi mô suy luận co giãn (elastic inference micro-services)</w:t>
      </w:r>
      <w:r>
        <w:rPr>
          <w:rFonts w:eastAsia="等线" w:ascii="Arial" w:cs="Arial" w:hAnsi="Arial"/>
          <w:sz w:val="22"/>
        </w:rPr>
        <w:t xml:space="preserve"> có thể thu hẹp về không. Trí tuệ của chúng được tinh chỉnh (ví dụ: </w:t>
      </w:r>
      <w:r>
        <w:rPr>
          <w:rFonts w:eastAsia="等线" w:ascii="Arial" w:cs="Arial" w:hAnsi="Arial"/>
          <w:b w:val="true"/>
          <w:sz w:val="22"/>
        </w:rPr>
        <w:t>LoRA / tinh chỉnh phân tán</w:t>
      </w:r>
      <w:r>
        <w:rPr>
          <w:rFonts w:eastAsia="等线" w:ascii="Arial" w:cs="Arial" w:hAnsi="Arial"/>
          <w:sz w:val="22"/>
        </w:rPr>
        <w:t xml:space="preserve">) dựa trên các giáo lý Chánh Pháp bằng cách sử dụng các nút gộp. Điều này </w:t>
      </w:r>
      <w:r>
        <w:rPr>
          <w:rFonts w:eastAsia="等线" w:ascii="Arial" w:cs="Arial" w:hAnsi="Arial"/>
          <w:b w:val="true"/>
          <w:sz w:val="22"/>
        </w:rPr>
        <w:t>thân thiện với các mô hình mở</w:t>
      </w:r>
      <w:r>
        <w:rPr>
          <w:rFonts w:eastAsia="等线" w:ascii="Arial" w:cs="Arial" w:hAnsi="Arial"/>
          <w:sz w:val="22"/>
        </w:rPr>
        <w:t xml:space="preserve"> (hỗ trợ HF, PyTorch, v.v.) và làm cho Chánh Pháp không thể bị kiểm duyệt.</w:t>
      </w:r>
    </w:p>
    <w:p>
      <w:pPr>
        <w:numPr>
          <w:numId w:val="20"/>
        </w:numPr>
        <w:spacing w:before="120" w:after="120" w:line="288" w:lineRule="auto"/>
        <w:ind w:left="0"/>
        <w:jc w:val="left"/>
      </w:pPr>
      <w:r>
        <w:rPr>
          <w:rFonts w:eastAsia="等线" w:ascii="Arial" w:cs="Arial" w:hAnsi="Arial"/>
          <w:b w:val="true"/>
          <w:sz w:val="22"/>
        </w:rPr>
        <w:t>4.5.2. Verifiable Storage: The Dharma Observatory (Lưu trữ Có thể Kiểm chứng: Đài Quan sát Pháp)</w:t>
      </w:r>
      <w:r>
        <w:rPr>
          <w:rFonts w:eastAsia="等线" w:ascii="Arial" w:cs="Arial" w:hAnsi="Arial"/>
          <w:sz w:val="22"/>
        </w:rPr>
        <w:t xml:space="preserve"> Toàn bộ Thư Viện Trí Tuệ được lưu trữ bằng các nguyên thủy lưu trữ phi tập trung. Chúng ta sử dụng các </w:t>
      </w:r>
      <w:r>
        <w:rPr>
          <w:rFonts w:eastAsia="等线" w:ascii="Arial" w:cs="Arial" w:hAnsi="Arial"/>
          <w:b w:val="true"/>
          <w:sz w:val="22"/>
        </w:rPr>
        <w:t>quy trình xử lý truyền thông (media pipelines)</w:t>
      </w:r>
      <w:r>
        <w:rPr>
          <w:rFonts w:eastAsia="等线" w:ascii="Arial" w:cs="Arial" w:hAnsi="Arial"/>
          <w:sz w:val="22"/>
        </w:rPr>
        <w:t xml:space="preserve"> của mạng lưới (để phiên âm, dịch thuật, và thị giác máy tính) và </w:t>
      </w:r>
      <w:r>
        <w:rPr>
          <w:rFonts w:eastAsia="等线" w:ascii="Arial" w:cs="Arial" w:hAnsi="Arial"/>
          <w:b w:val="true"/>
          <w:sz w:val="22"/>
        </w:rPr>
        <w:t>RAG quy mô lớn</w:t>
      </w:r>
      <w:r>
        <w:rPr>
          <w:rFonts w:eastAsia="等线" w:ascii="Arial" w:cs="Arial" w:hAnsi="Arial"/>
          <w:sz w:val="22"/>
        </w:rPr>
        <w:t xml:space="preserve"> (thu thập, nhúng, lập chỉ mục) để làm cho tất cả các bài pháp thoại có thể tìm kiếm được và truy cập được bởi các Trợ lý AI, đảm bảo các giáo lý vượt thời gian được bảo tồn vĩnh viễn.</w:t>
      </w:r>
    </w:p>
    <w:p>
      <w:pPr>
        <w:numPr>
          <w:numId w:val="21"/>
        </w:numPr>
        <w:spacing w:before="120" w:after="120" w:line="288" w:lineRule="auto"/>
        <w:ind w:left="0"/>
        <w:jc w:val="left"/>
      </w:pPr>
      <w:r>
        <w:rPr>
          <w:rFonts w:eastAsia="等线" w:ascii="Arial" w:cs="Arial" w:hAnsi="Arial"/>
          <w:b w:val="true"/>
          <w:sz w:val="22"/>
        </w:rPr>
        <w:t>4.5.3. Trustless Reputation: The Awakened DAO (Danh tiếng Tin cậy: DAO Giác Ngộ)</w:t>
      </w:r>
      <w:r>
        <w:rPr>
          <w:rFonts w:eastAsia="等线" w:ascii="Arial" w:cs="Arial" w:hAnsi="Arial"/>
          <w:sz w:val="22"/>
        </w:rPr>
        <w:t xml:space="preserve"> Hệ thống quản trị của chúng ta được neo vào các </w:t>
      </w:r>
      <w:r>
        <w:rPr>
          <w:rFonts w:eastAsia="等线" w:ascii="Arial" w:cs="Arial" w:hAnsi="Arial"/>
          <w:b w:val="true"/>
          <w:sz w:val="22"/>
        </w:rPr>
        <w:t>quy trình có thể kiểm chứng (verifiable pipelines)</w:t>
      </w:r>
      <w:r>
        <w:rPr>
          <w:rFonts w:eastAsia="等线" w:ascii="Arial" w:cs="Arial" w:hAnsi="Arial"/>
          <w:sz w:val="22"/>
        </w:rPr>
        <w:t xml:space="preserve"> của mạng lưới. Khi một người dùng thực hiện một hành động tạo công đức (được xác minh bởi Giao thức Công Đức của chúng ta), hành động đó được ghi lại thông qua Mandala Ledger và nhận được một </w:t>
      </w:r>
      <w:r>
        <w:rPr>
          <w:rFonts w:eastAsia="等线" w:ascii="Arial" w:cs="Arial" w:hAnsi="Arial"/>
          <w:b w:val="true"/>
          <w:sz w:val="22"/>
        </w:rPr>
        <w:t>chứng thực (attestation)</w:t>
      </w:r>
      <w:r>
        <w:rPr>
          <w:rFonts w:eastAsia="等线" w:ascii="Arial" w:cs="Arial" w:hAnsi="Arial"/>
          <w:sz w:val="22"/>
        </w:rPr>
        <w:t xml:space="preserve"> có thể kiểm chứng. Điều này tạo ra một hệ thống quản trị thực sự tin cậy, nơi Dao Token là một bản ghi minh bạch về công đức, không phải là một tài sản tài chính có thể giao dịch.</w:t>
      </w:r>
    </w:p>
    <w:p>
      <w:pPr>
        <w:pStyle w:val="4"/>
        <w:spacing w:before="260" w:after="120" w:line="288" w:lineRule="auto"/>
        <w:ind w:left="0"/>
        <w:jc w:val="left"/>
        <w:outlineLvl w:val="3"/>
      </w:pPr>
      <w:bookmarkStart w:name="heading_11" w:id="11"/>
      <w:r>
        <w:rPr>
          <w:rFonts w:eastAsia="等线" w:ascii="Arial" w:cs="Arial" w:hAnsi="Arial"/>
          <w:b w:val="true"/>
          <w:sz w:val="28"/>
        </w:rPr>
        <w:t>4.6. Privacy by Dharma (Bảo mật bằng Chánh Pháp - Tận dụng Quyền truy cập Dữ liệu được Đồng thuận)</w:t>
      </w:r>
      <w:bookmarkEnd w:id="11"/>
    </w:p>
    <w:p>
      <w:pPr>
        <w:spacing w:before="120" w:after="120" w:line="288" w:lineRule="auto"/>
        <w:ind w:left="0"/>
        <w:jc w:val="left"/>
      </w:pPr>
      <w:r>
        <w:rPr>
          <w:rFonts w:eastAsia="等线" w:ascii="Arial" w:cs="Arial" w:hAnsi="Arial"/>
          <w:sz w:val="22"/>
        </w:rPr>
        <w:t xml:space="preserve">Nền tảng của chúng ta tuân thủ nguyên tắc "Bảo mật bằng Chánh Pháp". Vì chúng ta không dựa vào máy chủ trung tâm, nên không có việc khai thác dữ liệu. Chúng ta tận dụng mô hình </w:t>
      </w:r>
      <w:r>
        <w:rPr>
          <w:rFonts w:eastAsia="等线" w:ascii="Arial" w:cs="Arial" w:hAnsi="Arial"/>
          <w:b w:val="true"/>
          <w:sz w:val="22"/>
        </w:rPr>
        <w:t>truy cập dữ liệu dựa trên sự đồng thuận (consent-first data access)</w:t>
      </w:r>
      <w:r>
        <w:rPr>
          <w:rFonts w:eastAsia="等线" w:ascii="Arial" w:cs="Arial" w:hAnsi="Arial"/>
          <w:sz w:val="22"/>
        </w:rPr>
        <w:t xml:space="preserve"> của mạng lưới.</w:t>
      </w:r>
    </w:p>
    <w:p>
      <w:pPr>
        <w:spacing w:before="120" w:after="120" w:line="288" w:lineRule="auto"/>
        <w:ind w:left="0"/>
        <w:jc w:val="left"/>
      </w:pPr>
      <w:r>
        <w:rPr>
          <w:rFonts w:eastAsia="等线" w:ascii="Arial" w:cs="Arial" w:hAnsi="Arial"/>
          <w:sz w:val="22"/>
        </w:rPr>
        <w:t xml:space="preserve">Chúng ta sẽ không bao giờ vượt tường lửa trả phí (paywalls) hoặc vi phạm quyền riêng tư. Đối với các đối tác Tăng Đoàn của chúng ta, </w:t>
      </w:r>
      <w:r>
        <w:rPr>
          <w:rFonts w:eastAsia="等线" w:ascii="Arial" w:cs="Arial" w:hAnsi="Arial"/>
          <w:b w:val="true"/>
          <w:sz w:val="22"/>
        </w:rPr>
        <w:t>việc xử lý nhận biết quyền riêng tư và khu vực (privacy- and region-aware processing)</w:t>
      </w:r>
      <w:r>
        <w:rPr>
          <w:rFonts w:eastAsia="等线" w:ascii="Arial" w:cs="Arial" w:hAnsi="Arial"/>
          <w:sz w:val="22"/>
        </w:rPr>
        <w:t xml:space="preserve"> đảm bảo rằng dữ liệu nhạy cảm (ví dụ: PII hoặc dữ liệu chỉ thuộc EU) luôn nằm trong phạm vi quyền hạn cho phép của nó, chạy các biến đổi cục bộ và chỉ xuất ra các tạo tác (artifacts) đã được ẩn danh. Dữ liệu người dùng là thuộc chủ quyền của chính họ. Sự tu tập chân chính không thể cùng tồn tại với chủ nghĩa tư bản giám sát.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54309">
    <w:lvl>
      <w:start w:val="1"/>
      <w:numFmt w:val="decimal"/>
      <w:suff w:val="tab"/>
      <w:lvlText w:val="%1."/>
      <w:rPr>
        <w:color w:val="3370ff"/>
      </w:rPr>
    </w:lvl>
  </w:abstractNum>
  <w:abstractNum w:abstractNumId="354310">
    <w:lvl>
      <w:numFmt w:val="bullet"/>
      <w:suff w:val="tab"/>
      <w:lvlText w:val="•"/>
      <w:rPr>
        <w:color w:val="3370ff"/>
      </w:rPr>
    </w:lvl>
  </w:abstractNum>
  <w:abstractNum w:abstractNumId="354311">
    <w:lvl>
      <w:start w:val="1"/>
      <w:numFmt w:val="decimal"/>
      <w:suff w:val="tab"/>
      <w:lvlText w:val="%1."/>
      <w:rPr>
        <w:color w:val="3370ff"/>
      </w:rPr>
    </w:lvl>
  </w:abstractNum>
  <w:abstractNum w:abstractNumId="354312">
    <w:lvl>
      <w:start w:val="2"/>
      <w:numFmt w:val="decimal"/>
      <w:suff w:val="tab"/>
      <w:lvlText w:val="%1."/>
      <w:rPr>
        <w:color w:val="3370ff"/>
      </w:rPr>
    </w:lvl>
  </w:abstractNum>
  <w:abstractNum w:abstractNumId="354313">
    <w:lvl>
      <w:start w:val="3"/>
      <w:numFmt w:val="decimal"/>
      <w:suff w:val="tab"/>
      <w:lvlText w:val="%1."/>
      <w:rPr>
        <w:color w:val="3370ff"/>
      </w:rPr>
    </w:lvl>
  </w:abstractNum>
  <w:abstractNum w:abstractNumId="354314">
    <w:lvl>
      <w:start w:val="1"/>
      <w:numFmt w:val="decimal"/>
      <w:suff w:val="tab"/>
      <w:lvlText w:val="%1."/>
      <w:rPr>
        <w:color w:val="3370ff"/>
      </w:rPr>
    </w:lvl>
  </w:abstractNum>
  <w:abstractNum w:abstractNumId="354315">
    <w:lvl>
      <w:start w:val="2"/>
      <w:numFmt w:val="decimal"/>
      <w:suff w:val="tab"/>
      <w:lvlText w:val="%1."/>
      <w:rPr>
        <w:color w:val="3370ff"/>
      </w:rPr>
    </w:lvl>
  </w:abstractNum>
  <w:abstractNum w:abstractNumId="354316">
    <w:lvl>
      <w:numFmt w:val="bullet"/>
      <w:suff w:val="tab"/>
      <w:lvlText w:val="•"/>
      <w:rPr>
        <w:color w:val="3370ff"/>
      </w:rPr>
    </w:lvl>
  </w:abstractNum>
  <w:abstractNum w:abstractNumId="354317">
    <w:lvl>
      <w:numFmt w:val="bullet"/>
      <w:suff w:val="tab"/>
      <w:lvlText w:val="•"/>
      <w:rPr>
        <w:color w:val="3370ff"/>
      </w:rPr>
    </w:lvl>
  </w:abstractNum>
  <w:abstractNum w:abstractNumId="354318">
    <w:lvl>
      <w:numFmt w:val="bullet"/>
      <w:suff w:val="tab"/>
      <w:lvlText w:val="•"/>
      <w:rPr>
        <w:color w:val="3370ff"/>
      </w:rPr>
    </w:lvl>
  </w:abstractNum>
  <w:abstractNum w:abstractNumId="354319">
    <w:lvl>
      <w:start w:val="2"/>
      <w:numFmt w:val="decimal"/>
      <w:suff w:val="tab"/>
      <w:lvlText w:val="%1."/>
      <w:rPr>
        <w:color w:val="3370ff"/>
      </w:rPr>
    </w:lvl>
  </w:abstractNum>
  <w:abstractNum w:abstractNumId="354320">
    <w:lvl>
      <w:numFmt w:val="bullet"/>
      <w:suff w:val="tab"/>
      <w:lvlText w:val="•"/>
      <w:rPr>
        <w:color w:val="3370ff"/>
      </w:rPr>
    </w:lvl>
  </w:abstractNum>
  <w:abstractNum w:abstractNumId="354321">
    <w:lvl>
      <w:numFmt w:val="bullet"/>
      <w:suff w:val="tab"/>
      <w:lvlText w:val="•"/>
      <w:rPr>
        <w:color w:val="3370ff"/>
      </w:rPr>
    </w:lvl>
  </w:abstractNum>
  <w:abstractNum w:abstractNumId="354322">
    <w:lvl>
      <w:start w:val="1"/>
      <w:numFmt w:val="decimal"/>
      <w:suff w:val="tab"/>
      <w:lvlText w:val="%1."/>
      <w:rPr>
        <w:color w:val="3370ff"/>
      </w:rPr>
    </w:lvl>
  </w:abstractNum>
  <w:abstractNum w:abstractNumId="354323">
    <w:lvl>
      <w:start w:val="2"/>
      <w:numFmt w:val="decimal"/>
      <w:suff w:val="tab"/>
      <w:lvlText w:val="%1."/>
      <w:rPr>
        <w:color w:val="3370ff"/>
      </w:rPr>
    </w:lvl>
  </w:abstractNum>
  <w:abstractNum w:abstractNumId="354324">
    <w:lvl>
      <w:start w:val="3"/>
      <w:numFmt w:val="decimal"/>
      <w:suff w:val="tab"/>
      <w:lvlText w:val="%1."/>
      <w:rPr>
        <w:color w:val="3370ff"/>
      </w:rPr>
    </w:lvl>
  </w:abstractNum>
  <w:abstractNum w:abstractNumId="354325">
    <w:lvl>
      <w:start w:val="1"/>
      <w:numFmt w:val="decimal"/>
      <w:suff w:val="tab"/>
      <w:lvlText w:val="%1."/>
      <w:rPr>
        <w:color w:val="3370ff"/>
      </w:rPr>
    </w:lvl>
  </w:abstractNum>
  <w:abstractNum w:abstractNumId="354326">
    <w:lvl>
      <w:start w:val="2"/>
      <w:numFmt w:val="decimal"/>
      <w:suff w:val="tab"/>
      <w:lvlText w:val="%1."/>
      <w:rPr>
        <w:color w:val="3370ff"/>
      </w:rPr>
    </w:lvl>
  </w:abstractNum>
  <w:abstractNum w:abstractNumId="354327">
    <w:lvl>
      <w:numFmt w:val="bullet"/>
      <w:suff w:val="tab"/>
      <w:lvlText w:val="•"/>
      <w:rPr>
        <w:color w:val="3370ff"/>
      </w:rPr>
    </w:lvl>
  </w:abstractNum>
  <w:abstractNum w:abstractNumId="354328">
    <w:lvl>
      <w:numFmt w:val="bullet"/>
      <w:suff w:val="tab"/>
      <w:lvlText w:val="•"/>
      <w:rPr>
        <w:color w:val="3370ff"/>
      </w:rPr>
    </w:lvl>
  </w:abstractNum>
  <w:abstractNum w:abstractNumId="354329">
    <w:lvl>
      <w:numFmt w:val="bullet"/>
      <w:suff w:val="tab"/>
      <w:lvlText w:val="•"/>
      <w:rPr>
        <w:color w:val="3370ff"/>
      </w:rPr>
    </w:lvl>
  </w:abstractNum>
  <w:num w:numId="1">
    <w:abstractNumId w:val="354309"/>
  </w:num>
  <w:num w:numId="2">
    <w:abstractNumId w:val="354310"/>
  </w:num>
  <w:num w:numId="3">
    <w:abstractNumId w:val="354311"/>
  </w:num>
  <w:num w:numId="4">
    <w:abstractNumId w:val="354312"/>
  </w:num>
  <w:num w:numId="5">
    <w:abstractNumId w:val="354313"/>
  </w:num>
  <w:num w:numId="6">
    <w:abstractNumId w:val="354314"/>
  </w:num>
  <w:num w:numId="7">
    <w:abstractNumId w:val="354315"/>
  </w:num>
  <w:num w:numId="8">
    <w:abstractNumId w:val="354316"/>
  </w:num>
  <w:num w:numId="9">
    <w:abstractNumId w:val="354317"/>
  </w:num>
  <w:num w:numId="10">
    <w:abstractNumId w:val="354318"/>
  </w:num>
  <w:num w:numId="11">
    <w:abstractNumId w:val="354319"/>
  </w:num>
  <w:num w:numId="12">
    <w:abstractNumId w:val="354320"/>
  </w:num>
  <w:num w:numId="13">
    <w:abstractNumId w:val="354321"/>
  </w:num>
  <w:num w:numId="14">
    <w:abstractNumId w:val="354322"/>
  </w:num>
  <w:num w:numId="15">
    <w:abstractNumId w:val="354323"/>
  </w:num>
  <w:num w:numId="16">
    <w:abstractNumId w:val="354324"/>
  </w:num>
  <w:num w:numId="17">
    <w:abstractNumId w:val="354325"/>
  </w:num>
  <w:num w:numId="18">
    <w:abstractNumId w:val="354326"/>
  </w:num>
  <w:num w:numId="19">
    <w:abstractNumId w:val="354327"/>
  </w:num>
  <w:num w:numId="20">
    <w:abstractNumId w:val="354328"/>
  </w:num>
  <w:num w:numId="21">
    <w:abstractNumId w:val="35432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2025-10-29T00:18:46Z</dcterms:created>
  <dc:creator>Apache POI</dc:creator>
</cp:coreProperties>
</file>