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F83C4" w14:textId="77777777" w:rsidR="003C36F6" w:rsidRPr="003C36F6" w:rsidRDefault="003C36F6" w:rsidP="003C36F6">
      <w:pPr>
        <w:spacing w:after="240"/>
        <w:rPr>
          <w:b/>
          <w:sz w:val="26"/>
          <w:szCs w:val="26"/>
          <w:lang w:val="en-GB"/>
        </w:rPr>
      </w:pPr>
      <w:r w:rsidRPr="003C36F6">
        <w:rPr>
          <w:b/>
          <w:sz w:val="26"/>
          <w:szCs w:val="26"/>
          <w:lang w:val="en-GB"/>
        </w:rPr>
        <w:t>Wind power integration in ONSSET</w:t>
      </w:r>
    </w:p>
    <w:p w14:paraId="2D9E9A05" w14:textId="0913AF0E" w:rsidR="003C36F6" w:rsidRPr="003C36F6" w:rsidRDefault="003C36F6" w:rsidP="003C36F6">
      <w:pPr>
        <w:spacing w:after="120" w:line="312" w:lineRule="auto"/>
        <w:jc w:val="both"/>
        <w:rPr>
          <w:rFonts w:eastAsia="Calibri" w:cs="Times New Roman"/>
          <w:sz w:val="22"/>
          <w:lang w:val="en-GB"/>
        </w:rPr>
      </w:pPr>
      <w:r w:rsidRPr="003C36F6">
        <w:rPr>
          <w:rFonts w:eastAsia="Calibri" w:cs="Times New Roman"/>
          <w:sz w:val="22"/>
          <w:lang w:val="en-GB"/>
        </w:rPr>
        <w:t>In order to encourage the penetration of wind energy, decision makers must be provided with enough information so that they can support the development of wind energy. Therefore, availability of comprehensive data regarding the spatial distribution of wind energy resources throughout the world is of great importance for its large scale development. The main goal of this study is to visualize the distribution of onshore wind power capacity factor after considering the appropriate wind power technical parameters and land use restrictions. Finally</w:t>
      </w:r>
      <w:r w:rsidR="00AC4AB5">
        <w:rPr>
          <w:rFonts w:eastAsia="Calibri" w:cs="Times New Roman"/>
          <w:sz w:val="22"/>
          <w:lang w:val="en-GB"/>
        </w:rPr>
        <w:t>,</w:t>
      </w:r>
      <w:bookmarkStart w:id="0" w:name="_GoBack"/>
      <w:bookmarkEnd w:id="0"/>
      <w:r w:rsidRPr="003C36F6">
        <w:rPr>
          <w:rFonts w:eastAsia="Calibri" w:cs="Times New Roman"/>
          <w:sz w:val="22"/>
          <w:lang w:val="en-GB"/>
        </w:rPr>
        <w:t xml:space="preserve"> GIS maps will be prepared to indicate the possible favourable sites having favourable capacity factor throughout the world, which can be used in order to enhance the penetration of wind energy projects in grid and off-grid applications on global scale.</w:t>
      </w:r>
    </w:p>
    <w:p w14:paraId="388784EA" w14:textId="77777777" w:rsidR="003C36F6" w:rsidRPr="003C36F6" w:rsidRDefault="003C36F6" w:rsidP="003C36F6">
      <w:pPr>
        <w:pStyle w:val="Heading1"/>
        <w:numPr>
          <w:ilvl w:val="0"/>
          <w:numId w:val="3"/>
        </w:numPr>
        <w:spacing w:before="0" w:line="240" w:lineRule="auto"/>
        <w:jc w:val="both"/>
        <w:rPr>
          <w:rFonts w:ascii="Times New Roman" w:eastAsia="Calibri" w:hAnsi="Times New Roman" w:cs="Times New Roman"/>
          <w:b/>
          <w:color w:val="auto"/>
          <w:sz w:val="26"/>
          <w:szCs w:val="26"/>
        </w:rPr>
      </w:pPr>
      <w:r w:rsidRPr="003C36F6">
        <w:rPr>
          <w:rFonts w:ascii="Times New Roman" w:eastAsia="Calibri" w:hAnsi="Times New Roman" w:cs="Times New Roman"/>
          <w:b/>
          <w:color w:val="auto"/>
          <w:sz w:val="26"/>
          <w:szCs w:val="26"/>
        </w:rPr>
        <w:t xml:space="preserve">Material and </w:t>
      </w:r>
      <w:proofErr w:type="spellStart"/>
      <w:r w:rsidRPr="003C36F6">
        <w:rPr>
          <w:rFonts w:ascii="Times New Roman" w:eastAsia="Calibri" w:hAnsi="Times New Roman" w:cs="Times New Roman"/>
          <w:b/>
          <w:color w:val="auto"/>
          <w:sz w:val="26"/>
          <w:szCs w:val="26"/>
        </w:rPr>
        <w:t>methods</w:t>
      </w:r>
      <w:proofErr w:type="spellEnd"/>
    </w:p>
    <w:p w14:paraId="4202C958" w14:textId="77777777" w:rsidR="003C36F6" w:rsidRPr="007F460F" w:rsidRDefault="003C36F6" w:rsidP="003C36F6">
      <w:pPr>
        <w:spacing w:after="0"/>
        <w:rPr>
          <w:lang w:val="en-GB"/>
        </w:rPr>
      </w:pPr>
    </w:p>
    <w:p w14:paraId="7FF3019E" w14:textId="77777777" w:rsidR="003C36F6" w:rsidRPr="003C36F6" w:rsidRDefault="003C36F6" w:rsidP="003C36F6">
      <w:pPr>
        <w:pStyle w:val="Heading2"/>
        <w:numPr>
          <w:ilvl w:val="1"/>
          <w:numId w:val="3"/>
        </w:numPr>
        <w:spacing w:before="0" w:line="240" w:lineRule="auto"/>
        <w:jc w:val="both"/>
        <w:rPr>
          <w:rFonts w:ascii="Times New Roman" w:hAnsi="Times New Roman" w:cs="Times New Roman"/>
          <w:b/>
          <w:color w:val="auto"/>
          <w:sz w:val="24"/>
          <w:szCs w:val="24"/>
        </w:rPr>
      </w:pPr>
      <w:r w:rsidRPr="003C36F6">
        <w:rPr>
          <w:rFonts w:ascii="Times New Roman" w:hAnsi="Times New Roman" w:cs="Times New Roman"/>
          <w:b/>
          <w:color w:val="auto"/>
          <w:sz w:val="24"/>
          <w:szCs w:val="24"/>
        </w:rPr>
        <w:t>Spatial data</w:t>
      </w:r>
    </w:p>
    <w:p w14:paraId="289203A2" w14:textId="77777777" w:rsidR="003C36F6" w:rsidRPr="007F460F" w:rsidRDefault="003C36F6" w:rsidP="003C36F6">
      <w:pPr>
        <w:spacing w:after="0" w:line="240" w:lineRule="auto"/>
        <w:jc w:val="both"/>
        <w:rPr>
          <w:lang w:val="en-GB"/>
        </w:rPr>
      </w:pPr>
    </w:p>
    <w:p w14:paraId="04A233CC" w14:textId="4E5E2D6B" w:rsidR="003C36F6" w:rsidRPr="003C36F6" w:rsidRDefault="003C36F6" w:rsidP="003C36F6">
      <w:pPr>
        <w:spacing w:after="120" w:line="312" w:lineRule="auto"/>
        <w:jc w:val="both"/>
        <w:rPr>
          <w:sz w:val="22"/>
          <w:lang w:val="en-US"/>
        </w:rPr>
      </w:pPr>
      <w:r w:rsidRPr="003C36F6">
        <w:rPr>
          <w:sz w:val="22"/>
          <w:lang w:val="en-US"/>
        </w:rPr>
        <w:t>Initially, 20 years raw GIS data of average wind speed at 10m height having spatial resolution of 0.5</w:t>
      </w:r>
      <w:r w:rsidRPr="003C36F6">
        <w:rPr>
          <w:sz w:val="22"/>
          <w:vertAlign w:val="superscript"/>
          <w:lang w:val="en-US"/>
        </w:rPr>
        <w:t>o</w:t>
      </w:r>
      <w:r w:rsidRPr="003C36F6">
        <w:rPr>
          <w:sz w:val="22"/>
          <w:lang w:val="en-US"/>
        </w:rPr>
        <w:t>x0.5</w:t>
      </w:r>
      <w:r w:rsidRPr="003C36F6">
        <w:rPr>
          <w:sz w:val="22"/>
          <w:vertAlign w:val="superscript"/>
          <w:lang w:val="en-US"/>
        </w:rPr>
        <w:t>o</w:t>
      </w:r>
      <w:r w:rsidRPr="003C36F6">
        <w:rPr>
          <w:sz w:val="22"/>
          <w:lang w:val="en-US"/>
        </w:rPr>
        <w:t xml:space="preserve"> (approx. 55 km</w:t>
      </w:r>
      <w:r w:rsidRPr="003C36F6">
        <w:rPr>
          <w:sz w:val="22"/>
          <w:vertAlign w:val="superscript"/>
          <w:lang w:val="en-US"/>
        </w:rPr>
        <w:t>2</w:t>
      </w:r>
      <w:r w:rsidRPr="003C36F6">
        <w:rPr>
          <w:sz w:val="22"/>
          <w:lang w:val="en-US"/>
        </w:rPr>
        <w:t xml:space="preserve">) available throughout the land area of globe was acquired from </w:t>
      </w:r>
      <w:r w:rsidRPr="003C36F6">
        <w:rPr>
          <w:rFonts w:cs="Times New Roman"/>
          <w:sz w:val="22"/>
          <w:shd w:val="clear" w:color="auto" w:fill="FFFFFF"/>
          <w:lang w:val="en-US"/>
        </w:rPr>
        <w:t>National Aeronautics and Space Administration (</w:t>
      </w:r>
      <w:r w:rsidRPr="003C36F6">
        <w:rPr>
          <w:rFonts w:eastAsia="Calibri" w:cs="Times New Roman"/>
          <w:sz w:val="22"/>
          <w:lang w:val="en-GB"/>
        </w:rPr>
        <w:t xml:space="preserve">NASA) for </w:t>
      </w:r>
      <w:r w:rsidR="004D4945">
        <w:rPr>
          <w:rFonts w:eastAsia="Calibri" w:cs="Times New Roman"/>
          <w:sz w:val="22"/>
          <w:lang w:val="en-GB"/>
        </w:rPr>
        <w:t>1995-</w:t>
      </w:r>
      <w:r w:rsidRPr="003C36F6">
        <w:rPr>
          <w:rFonts w:eastAsia="Calibri" w:cs="Times New Roman"/>
          <w:sz w:val="22"/>
          <w:lang w:val="en-GB"/>
        </w:rPr>
        <w:t xml:space="preserve">2014 </w:t>
      </w:r>
      <w:r w:rsidRPr="003C36F6">
        <w:rPr>
          <w:rFonts w:eastAsia="Calibri" w:cs="Times New Roman"/>
          <w:color w:val="8496B0" w:themeColor="text2" w:themeTint="99"/>
          <w:sz w:val="22"/>
          <w:lang w:val="en-GB"/>
        </w:rPr>
        <w:fldChar w:fldCharType="begin"/>
      </w:r>
      <w:r w:rsidRPr="003C36F6">
        <w:rPr>
          <w:rFonts w:eastAsia="Calibri" w:cs="Times New Roman"/>
          <w:color w:val="8496B0" w:themeColor="text2" w:themeTint="99"/>
          <w:sz w:val="22"/>
          <w:lang w:val="en-GB"/>
        </w:rPr>
        <w:instrText xml:space="preserve"> ADDIN ZOTERO_ITEM CSL_CITATION {"citationID":"1d0mfhjnoq","properties":{"formattedCitation":"[29]","plainCitation":"[29]"},"citationItems":[{"id":19,"uris":["http://zotero.org/users/local/e8NniAXZ/items/F6S57UMR"],"uri":["http://zotero.org/users/local/e8NniAXZ/items/F6S57UMR"],"itemData":{"id":19,"type":"webpage","title":"Goddard Earth Sciences Data and Information Services Center","URL":"http://disc.sci.gsfc.nasa.gov/mdisc/additional/tools","author":[{"family":"NASA","given":""}],"issued":{"date-parts":[["2015"]]},"accessed":{"date-parts":[["2015",10,6]]}}}],"schema":"https://github.com/citation-style-language/schema/raw/master/csl-citation.json"} </w:instrText>
      </w:r>
      <w:r w:rsidRPr="003C36F6">
        <w:rPr>
          <w:rFonts w:eastAsia="Calibri" w:cs="Times New Roman"/>
          <w:color w:val="8496B0" w:themeColor="text2" w:themeTint="99"/>
          <w:sz w:val="22"/>
          <w:lang w:val="en-GB"/>
        </w:rPr>
        <w:fldChar w:fldCharType="separate"/>
      </w:r>
      <w:r w:rsidRPr="003C36F6">
        <w:rPr>
          <w:rFonts w:cs="Times New Roman"/>
          <w:sz w:val="22"/>
          <w:lang w:val="en-US"/>
        </w:rPr>
        <w:t>[29]</w:t>
      </w:r>
      <w:r w:rsidRPr="003C36F6">
        <w:rPr>
          <w:rFonts w:eastAsia="Calibri" w:cs="Times New Roman"/>
          <w:color w:val="8496B0" w:themeColor="text2" w:themeTint="99"/>
          <w:sz w:val="22"/>
          <w:lang w:val="en-GB"/>
        </w:rPr>
        <w:fldChar w:fldCharType="end"/>
      </w:r>
      <w:r w:rsidRPr="003C36F6">
        <w:rPr>
          <w:rFonts w:eastAsia="Calibri" w:cs="Times New Roman"/>
          <w:sz w:val="22"/>
          <w:lang w:val="en-GB"/>
        </w:rPr>
        <w:t xml:space="preserve">. NASA provides wind speed in terms of eastward and northward components at 10m height. These two components can be combined together by </w:t>
      </w:r>
      <w:r w:rsidRPr="003C36F6">
        <w:rPr>
          <w:sz w:val="22"/>
          <w:lang w:val="en-US"/>
        </w:rPr>
        <w:t xml:space="preserve">the Pythagorean Theorem given below to get absolute value of wind speed at 10m height as suggested by </w:t>
      </w:r>
      <w:r w:rsidRPr="003C36F6">
        <w:rPr>
          <w:sz w:val="22"/>
          <w:lang w:val="en-US"/>
        </w:rPr>
        <w:fldChar w:fldCharType="begin"/>
      </w:r>
      <w:r w:rsidRPr="003C36F6">
        <w:rPr>
          <w:sz w:val="22"/>
          <w:lang w:val="en-US"/>
        </w:rPr>
        <w:instrText xml:space="preserve"> ADDIN ZOTERO_ITEM CSL_CITATION {"citationID":"tyAMtzjv","properties":{"formattedCitation":"[30]","plainCitation":"[30]"},"citationItems":[{"id":98,"uris":["http://zotero.org/users/2331352/items/WCQENW22"],"uri":["http://zotero.org/users/2331352/items/WCQENW22"],"itemData":{"id":98,"type":"article","title":"Designing an index for assessing wind energy potential - 1-s2.0-S0960148115003183-main.pdf","URL":"http://ac.els-cdn.com.focus.lib.kth.se/S0960148115003183/1-s2.0-S0960148115003183-main.pdf?_tid=492feb64-74fe-11e5-8cf8-00000aab0f26&amp;acdnat=1445107300_dbb0d6a60637e32f5ed2a99ffd72549e","accessed":{"date-parts":[["2015",10,17]]}}}],"schema":"https://github.com/citation-style-language/schema/raw/master/csl-citation.json"} </w:instrText>
      </w:r>
      <w:r w:rsidRPr="003C36F6">
        <w:rPr>
          <w:sz w:val="22"/>
          <w:lang w:val="en-US"/>
        </w:rPr>
        <w:fldChar w:fldCharType="separate"/>
      </w:r>
      <w:r w:rsidRPr="003C36F6">
        <w:rPr>
          <w:rFonts w:cs="Times New Roman"/>
          <w:sz w:val="22"/>
          <w:lang w:val="en-US"/>
        </w:rPr>
        <w:t>[30]</w:t>
      </w:r>
      <w:r w:rsidRPr="003C36F6">
        <w:rPr>
          <w:sz w:val="22"/>
          <w:lang w:val="en-US"/>
        </w:rPr>
        <w:fldChar w:fldCharType="end"/>
      </w:r>
      <w:r w:rsidRPr="003C36F6">
        <w:rPr>
          <w:sz w:val="22"/>
          <w:lang w:val="en-US"/>
        </w:rPr>
        <w:t>.</w:t>
      </w:r>
    </w:p>
    <w:p w14:paraId="5DA9D9B2" w14:textId="77777777" w:rsidR="003C36F6" w:rsidRDefault="003C36F6" w:rsidP="003C36F6">
      <w:pPr>
        <w:spacing w:after="0" w:line="240" w:lineRule="auto"/>
        <w:jc w:val="both"/>
        <w:rPr>
          <w:lang w:val="en-US"/>
        </w:rPr>
      </w:pPr>
    </w:p>
    <w:p w14:paraId="58117188" w14:textId="77777777" w:rsidR="003C36F6" w:rsidRPr="008D333D" w:rsidRDefault="00AC4AB5" w:rsidP="003C36F6">
      <w:pPr>
        <w:spacing w:after="0" w:line="240" w:lineRule="auto"/>
        <w:jc w:val="both"/>
        <w:rPr>
          <w:szCs w:val="24"/>
          <w:lang w:val="en-US"/>
        </w:rPr>
      </w:pPr>
      <m:oMathPara>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h</m:t>
              </m:r>
            </m:sub>
          </m:sSub>
          <m:r>
            <w:rPr>
              <w:rFonts w:ascii="Cambria Math" w:hAnsi="Cambria Math"/>
              <w:szCs w:val="24"/>
              <w:lang w:val="en-US"/>
            </w:rPr>
            <m:t xml:space="preserve">= </m:t>
          </m:r>
          <m:rad>
            <m:radPr>
              <m:degHide m:val="1"/>
              <m:ctrlPr>
                <w:rPr>
                  <w:rFonts w:ascii="Cambria Math" w:hAnsi="Cambria Math"/>
                  <w:i/>
                  <w:szCs w:val="24"/>
                  <w:lang w:val="en-US"/>
                </w:rPr>
              </m:ctrlPr>
            </m:radPr>
            <m:deg/>
            <m:e>
              <m:sSup>
                <m:sSupPr>
                  <m:ctrlPr>
                    <w:rPr>
                      <w:rFonts w:ascii="Cambria Math" w:hAnsi="Cambria Math"/>
                      <w:i/>
                      <w:szCs w:val="24"/>
                      <w:lang w:val="en-US"/>
                    </w:rPr>
                  </m:ctrlPr>
                </m:sSupPr>
                <m:e>
                  <m:sSub>
                    <m:sSubPr>
                      <m:ctrlPr>
                        <w:rPr>
                          <w:rFonts w:ascii="Cambria Math" w:hAnsi="Cambria Math"/>
                          <w:i/>
                          <w:szCs w:val="24"/>
                          <w:lang w:val="en-US"/>
                        </w:rPr>
                      </m:ctrlPr>
                    </m:sSubPr>
                    <m:e>
                      <m:r>
                        <w:rPr>
                          <w:rFonts w:ascii="Cambria Math" w:hAnsi="Cambria Math"/>
                          <w:szCs w:val="24"/>
                          <w:lang w:val="en-US"/>
                        </w:rPr>
                        <m:t>U</m:t>
                      </m:r>
                    </m:e>
                    <m:sub>
                      <m:r>
                        <w:rPr>
                          <w:rFonts w:ascii="Cambria Math" w:hAnsi="Cambria Math"/>
                          <w:szCs w:val="24"/>
                          <w:lang w:val="en-US"/>
                        </w:rPr>
                        <m:t>h</m:t>
                      </m:r>
                    </m:sub>
                  </m:sSub>
                </m:e>
                <m:sup>
                  <m:r>
                    <w:rPr>
                      <w:rFonts w:ascii="Cambria Math" w:hAnsi="Cambria Math"/>
                      <w:szCs w:val="24"/>
                      <w:lang w:val="en-US"/>
                    </w:rPr>
                    <m:t>2</m:t>
                  </m:r>
                </m:sup>
              </m:sSup>
              <m:r>
                <w:rPr>
                  <w:rFonts w:ascii="Cambria Math" w:hAnsi="Cambria Math"/>
                  <w:szCs w:val="24"/>
                  <w:lang w:val="en-US"/>
                </w:rPr>
                <m:t>+</m:t>
              </m:r>
              <m:sSup>
                <m:sSupPr>
                  <m:ctrlPr>
                    <w:rPr>
                      <w:rFonts w:ascii="Cambria Math" w:hAnsi="Cambria Math"/>
                      <w:i/>
                      <w:szCs w:val="24"/>
                      <w:lang w:val="en-US"/>
                    </w:rPr>
                  </m:ctrlPr>
                </m:sSupPr>
                <m:e>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h</m:t>
                      </m:r>
                    </m:sub>
                  </m:sSub>
                </m:e>
                <m:sup>
                  <m:r>
                    <w:rPr>
                      <w:rFonts w:ascii="Cambria Math" w:hAnsi="Cambria Math"/>
                      <w:szCs w:val="24"/>
                      <w:lang w:val="en-US"/>
                    </w:rPr>
                    <m:t>2</m:t>
                  </m:r>
                </m:sup>
              </m:sSup>
            </m:e>
          </m:rad>
        </m:oMath>
      </m:oMathPara>
    </w:p>
    <w:p w14:paraId="303D4F84" w14:textId="77777777" w:rsidR="003C36F6" w:rsidRDefault="003C36F6" w:rsidP="003C36F6">
      <w:pPr>
        <w:spacing w:after="0" w:line="240" w:lineRule="auto"/>
        <w:jc w:val="both"/>
        <w:rPr>
          <w:lang w:val="en-US"/>
        </w:rPr>
      </w:pPr>
    </w:p>
    <w:p w14:paraId="3B203E04" w14:textId="77777777" w:rsidR="003C36F6" w:rsidRPr="003C36F6" w:rsidRDefault="003C36F6" w:rsidP="003C36F6">
      <w:pPr>
        <w:spacing w:after="120" w:line="312" w:lineRule="auto"/>
        <w:jc w:val="both"/>
        <w:rPr>
          <w:sz w:val="22"/>
          <w:lang w:val="en-US"/>
        </w:rPr>
      </w:pPr>
      <w:r w:rsidRPr="003C36F6">
        <w:rPr>
          <w:sz w:val="22"/>
          <w:lang w:val="en-US"/>
        </w:rPr>
        <w:t xml:space="preserve">Where, </w:t>
      </w:r>
      <w:proofErr w:type="spellStart"/>
      <w:r w:rsidRPr="003C36F6">
        <w:rPr>
          <w:sz w:val="22"/>
          <w:lang w:val="en-US"/>
        </w:rPr>
        <w:t>V</w:t>
      </w:r>
      <w:r w:rsidRPr="003C36F6">
        <w:rPr>
          <w:sz w:val="22"/>
          <w:vertAlign w:val="subscript"/>
          <w:lang w:val="en-US"/>
        </w:rPr>
        <w:t>h</w:t>
      </w:r>
      <w:proofErr w:type="spellEnd"/>
      <w:r w:rsidRPr="003C36F6">
        <w:rPr>
          <w:sz w:val="22"/>
          <w:vertAlign w:val="subscript"/>
          <w:lang w:val="en-US"/>
        </w:rPr>
        <w:t xml:space="preserve"> </w:t>
      </w:r>
      <w:r w:rsidRPr="003C36F6">
        <w:rPr>
          <w:sz w:val="22"/>
          <w:lang w:val="en-US"/>
        </w:rPr>
        <w:t>is the absolute wind speed in (m/s), U</w:t>
      </w:r>
      <w:r w:rsidRPr="003C36F6">
        <w:rPr>
          <w:sz w:val="22"/>
          <w:vertAlign w:val="subscript"/>
          <w:lang w:val="en-US"/>
        </w:rPr>
        <w:t>h</w:t>
      </w:r>
      <w:r w:rsidRPr="003C36F6">
        <w:rPr>
          <w:sz w:val="22"/>
          <w:lang w:val="en-US"/>
        </w:rPr>
        <w:t xml:space="preserve"> is the eastward wind speed component in (m/s) and </w:t>
      </w:r>
      <w:proofErr w:type="spellStart"/>
      <w:r w:rsidRPr="003C36F6">
        <w:rPr>
          <w:sz w:val="22"/>
          <w:lang w:val="en-US"/>
        </w:rPr>
        <w:t>V</w:t>
      </w:r>
      <w:r w:rsidRPr="003C36F6">
        <w:rPr>
          <w:sz w:val="22"/>
          <w:vertAlign w:val="subscript"/>
          <w:lang w:val="en-US"/>
        </w:rPr>
        <w:t>h</w:t>
      </w:r>
      <w:proofErr w:type="spellEnd"/>
      <w:r w:rsidRPr="003C36F6">
        <w:rPr>
          <w:sz w:val="22"/>
          <w:vertAlign w:val="subscript"/>
          <w:lang w:val="en-US"/>
        </w:rPr>
        <w:t xml:space="preserve"> </w:t>
      </w:r>
      <w:r w:rsidRPr="003C36F6">
        <w:rPr>
          <w:sz w:val="22"/>
          <w:lang w:val="en-US"/>
        </w:rPr>
        <w:t>is the northward wind speed component in (m/s).</w:t>
      </w:r>
    </w:p>
    <w:p w14:paraId="5EF7E8BB" w14:textId="77777777" w:rsidR="003C36F6" w:rsidRPr="003C36F6" w:rsidRDefault="003C36F6" w:rsidP="003C36F6">
      <w:pPr>
        <w:spacing w:after="120" w:line="312" w:lineRule="auto"/>
        <w:jc w:val="both"/>
        <w:rPr>
          <w:rFonts w:eastAsia="Calibri" w:cs="Times New Roman"/>
          <w:sz w:val="22"/>
          <w:lang w:val="en-GB"/>
        </w:rPr>
      </w:pPr>
      <w:r w:rsidRPr="003C36F6">
        <w:rPr>
          <w:rFonts w:eastAsia="Calibri" w:cs="Times New Roman"/>
          <w:sz w:val="22"/>
          <w:lang w:val="en-GB"/>
        </w:rPr>
        <w:t>Apart from the global wind speed data layers, in order to prepare the suitability, several spatial data layers were used such as: administrative boundaries of countries, inland water bodies, protected areas, urban areas, digital elevation maps and slope datasets as mentioned in Table 1 here after.</w:t>
      </w:r>
    </w:p>
    <w:p w14:paraId="67A8407F" w14:textId="77777777" w:rsidR="003C36F6" w:rsidRPr="007F460F" w:rsidRDefault="003C36F6" w:rsidP="003C36F6">
      <w:pPr>
        <w:pStyle w:val="Caption"/>
        <w:keepNext/>
        <w:spacing w:after="120"/>
        <w:jc w:val="center"/>
        <w:rPr>
          <w:color w:val="auto"/>
          <w:sz w:val="20"/>
          <w:szCs w:val="20"/>
          <w:lang w:val="en-US"/>
        </w:rPr>
      </w:pPr>
      <w:r w:rsidRPr="007F460F">
        <w:rPr>
          <w:color w:val="auto"/>
          <w:sz w:val="20"/>
          <w:szCs w:val="20"/>
          <w:lang w:val="en-US"/>
        </w:rPr>
        <w:t xml:space="preserve">Table </w:t>
      </w:r>
      <w:r w:rsidRPr="007F460F">
        <w:rPr>
          <w:color w:val="auto"/>
          <w:sz w:val="20"/>
          <w:szCs w:val="20"/>
        </w:rPr>
        <w:fldChar w:fldCharType="begin"/>
      </w:r>
      <w:r w:rsidRPr="007F460F">
        <w:rPr>
          <w:color w:val="auto"/>
          <w:sz w:val="20"/>
          <w:szCs w:val="20"/>
          <w:lang w:val="en-US"/>
        </w:rPr>
        <w:instrText xml:space="preserve"> SEQ Tabell \* ARABIC </w:instrText>
      </w:r>
      <w:r w:rsidRPr="007F460F">
        <w:rPr>
          <w:color w:val="auto"/>
          <w:sz w:val="20"/>
          <w:szCs w:val="20"/>
        </w:rPr>
        <w:fldChar w:fldCharType="separate"/>
      </w:r>
      <w:r w:rsidRPr="007F460F">
        <w:rPr>
          <w:noProof/>
          <w:color w:val="auto"/>
          <w:sz w:val="20"/>
          <w:szCs w:val="20"/>
          <w:lang w:val="en-US"/>
        </w:rPr>
        <w:t>1</w:t>
      </w:r>
      <w:r w:rsidRPr="007F460F">
        <w:rPr>
          <w:color w:val="auto"/>
          <w:sz w:val="20"/>
          <w:szCs w:val="20"/>
        </w:rPr>
        <w:fldChar w:fldCharType="end"/>
      </w:r>
      <w:r w:rsidRPr="007F460F">
        <w:rPr>
          <w:color w:val="auto"/>
          <w:sz w:val="20"/>
          <w:szCs w:val="20"/>
          <w:lang w:val="en-US"/>
        </w:rPr>
        <w:t>: List of spatial data layers used in this study</w:t>
      </w:r>
    </w:p>
    <w:tbl>
      <w:tblPr>
        <w:tblStyle w:val="MediumGrid1-Accent3"/>
        <w:tblW w:w="0" w:type="auto"/>
        <w:tblLook w:val="04A0" w:firstRow="1" w:lastRow="0" w:firstColumn="1" w:lastColumn="0" w:noHBand="0" w:noVBand="1"/>
      </w:tblPr>
      <w:tblGrid>
        <w:gridCol w:w="3278"/>
        <w:gridCol w:w="3163"/>
        <w:gridCol w:w="1376"/>
      </w:tblGrid>
      <w:tr w:rsidR="003C36F6" w:rsidRPr="003C36F6" w14:paraId="5FB3111D" w14:textId="77777777" w:rsidTr="003C3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3CBF3DED" w14:textId="77777777" w:rsidR="003C36F6" w:rsidRPr="003C36F6" w:rsidRDefault="003C36F6" w:rsidP="003606D6">
            <w:pPr>
              <w:jc w:val="both"/>
              <w:rPr>
                <w:sz w:val="20"/>
                <w:szCs w:val="20"/>
                <w:lang w:val="en-GB"/>
              </w:rPr>
            </w:pPr>
            <w:r w:rsidRPr="003C36F6">
              <w:rPr>
                <w:sz w:val="20"/>
                <w:szCs w:val="20"/>
                <w:lang w:val="en-GB"/>
              </w:rPr>
              <w:t>Name of spatial data layer</w:t>
            </w:r>
          </w:p>
        </w:tc>
        <w:tc>
          <w:tcPr>
            <w:tcW w:w="3163" w:type="dxa"/>
          </w:tcPr>
          <w:p w14:paraId="0FB77542" w14:textId="77777777" w:rsidR="003C36F6" w:rsidRPr="003C36F6" w:rsidRDefault="003C36F6" w:rsidP="003606D6">
            <w:pPr>
              <w:cnfStyle w:val="100000000000" w:firstRow="1" w:lastRow="0" w:firstColumn="0" w:lastColumn="0" w:oddVBand="0" w:evenVBand="0" w:oddHBand="0" w:evenHBand="0" w:firstRowFirstColumn="0" w:firstRowLastColumn="0" w:lastRowFirstColumn="0" w:lastRowLastColumn="0"/>
              <w:rPr>
                <w:sz w:val="20"/>
                <w:szCs w:val="20"/>
                <w:lang w:val="en-GB"/>
              </w:rPr>
            </w:pPr>
            <w:r w:rsidRPr="003C36F6">
              <w:rPr>
                <w:sz w:val="20"/>
                <w:szCs w:val="20"/>
                <w:lang w:val="en-GB"/>
              </w:rPr>
              <w:t>Resolution i.e. size of grid cell</w:t>
            </w:r>
          </w:p>
        </w:tc>
        <w:tc>
          <w:tcPr>
            <w:tcW w:w="1376" w:type="dxa"/>
          </w:tcPr>
          <w:p w14:paraId="0C1A1562" w14:textId="77777777" w:rsidR="003C36F6" w:rsidRPr="003C36F6" w:rsidRDefault="003C36F6" w:rsidP="003606D6">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3C36F6">
              <w:rPr>
                <w:sz w:val="20"/>
                <w:szCs w:val="20"/>
                <w:lang w:val="en-GB"/>
              </w:rPr>
              <w:t>Source</w:t>
            </w:r>
          </w:p>
        </w:tc>
      </w:tr>
      <w:tr w:rsidR="003C36F6" w:rsidRPr="003C36F6" w14:paraId="35F3F11A" w14:textId="77777777" w:rsidTr="003C3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73A46E6F" w14:textId="77777777" w:rsidR="003C36F6" w:rsidRPr="003C36F6" w:rsidRDefault="003C36F6" w:rsidP="003606D6">
            <w:pPr>
              <w:rPr>
                <w:b w:val="0"/>
                <w:sz w:val="20"/>
                <w:szCs w:val="20"/>
                <w:lang w:val="en-GB"/>
              </w:rPr>
            </w:pPr>
            <w:r w:rsidRPr="003C36F6">
              <w:rPr>
                <w:b w:val="0"/>
                <w:sz w:val="20"/>
                <w:szCs w:val="20"/>
                <w:lang w:val="en-GB"/>
              </w:rPr>
              <w:t>Global yearly average wind speed</w:t>
            </w:r>
          </w:p>
        </w:tc>
        <w:tc>
          <w:tcPr>
            <w:tcW w:w="3163" w:type="dxa"/>
          </w:tcPr>
          <w:p w14:paraId="062D7D8E" w14:textId="77777777" w:rsidR="003C36F6" w:rsidRPr="003C36F6" w:rsidRDefault="003C36F6" w:rsidP="003606D6">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3C36F6">
              <w:rPr>
                <w:sz w:val="20"/>
                <w:szCs w:val="20"/>
                <w:lang w:val="en-GB"/>
              </w:rPr>
              <w:t>0.5</w:t>
            </w:r>
            <w:r w:rsidRPr="003C36F6">
              <w:rPr>
                <w:sz w:val="20"/>
                <w:szCs w:val="20"/>
                <w:vertAlign w:val="superscript"/>
                <w:lang w:val="en-GB"/>
              </w:rPr>
              <w:t>o</w:t>
            </w:r>
            <w:r w:rsidRPr="003C36F6">
              <w:rPr>
                <w:sz w:val="20"/>
                <w:szCs w:val="20"/>
                <w:lang w:val="en-GB"/>
              </w:rPr>
              <w:t xml:space="preserve"> * 0.5</w:t>
            </w:r>
            <w:r w:rsidRPr="003C36F6">
              <w:rPr>
                <w:sz w:val="20"/>
                <w:szCs w:val="20"/>
                <w:vertAlign w:val="superscript"/>
                <w:lang w:val="en-GB"/>
              </w:rPr>
              <w:t>o</w:t>
            </w:r>
            <w:r w:rsidRPr="003C36F6">
              <w:rPr>
                <w:sz w:val="20"/>
                <w:szCs w:val="20"/>
                <w:lang w:val="en-GB"/>
              </w:rPr>
              <w:t xml:space="preserve"> (approx. 55 km</w:t>
            </w:r>
            <w:r w:rsidRPr="003C36F6">
              <w:rPr>
                <w:sz w:val="20"/>
                <w:szCs w:val="20"/>
                <w:vertAlign w:val="superscript"/>
                <w:lang w:val="en-GB"/>
              </w:rPr>
              <w:t>2</w:t>
            </w:r>
            <w:r w:rsidRPr="003C36F6">
              <w:rPr>
                <w:sz w:val="20"/>
                <w:szCs w:val="20"/>
                <w:lang w:val="en-GB"/>
              </w:rPr>
              <w:t>)</w:t>
            </w:r>
          </w:p>
        </w:tc>
        <w:tc>
          <w:tcPr>
            <w:tcW w:w="1376" w:type="dxa"/>
          </w:tcPr>
          <w:p w14:paraId="1A36735A"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ql1LpI72","properties":{"formattedCitation":"[31]","plainCitation":"[31]"},"citationItems":[{"id":75,"uris":["http://zotero.org/users/2331352/items/DJ8N9ADF"],"uri":["http://zotero.org/users/2331352/items/DJ8N9ADF"],"itemData":{"id":75,"type":"webpage","title":"TOOLS — GES DISC - Goddard Earth Sciences Data and Information Services Center","URL":"http://disc.sci.gsfc.nasa.gov/mdisc/additional/tools","accessed":{"date-parts":[["2015",10,16]]}}}],"schema":"https://github.com/citation-style-language/schema/raw/master/csl-citation.json"}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[31]</w:t>
            </w:r>
            <w:r w:rsidRPr="003C36F6">
              <w:rPr>
                <w:color w:val="8496B0" w:themeColor="text2" w:themeTint="99"/>
                <w:sz w:val="20"/>
                <w:szCs w:val="20"/>
                <w:lang w:val="en-GB"/>
              </w:rPr>
              <w:fldChar w:fldCharType="end"/>
            </w:r>
          </w:p>
        </w:tc>
      </w:tr>
      <w:tr w:rsidR="003C36F6" w:rsidRPr="003C36F6" w14:paraId="578FA8BB" w14:textId="77777777" w:rsidTr="003C36F6">
        <w:tc>
          <w:tcPr>
            <w:cnfStyle w:val="001000000000" w:firstRow="0" w:lastRow="0" w:firstColumn="1" w:lastColumn="0" w:oddVBand="0" w:evenVBand="0" w:oddHBand="0" w:evenHBand="0" w:firstRowFirstColumn="0" w:firstRowLastColumn="0" w:lastRowFirstColumn="0" w:lastRowLastColumn="0"/>
            <w:tcW w:w="3278" w:type="dxa"/>
          </w:tcPr>
          <w:p w14:paraId="6A754F21" w14:textId="77777777" w:rsidR="003C36F6" w:rsidRPr="003C36F6" w:rsidRDefault="003C36F6" w:rsidP="003606D6">
            <w:pPr>
              <w:jc w:val="both"/>
              <w:rPr>
                <w:b w:val="0"/>
                <w:sz w:val="20"/>
                <w:szCs w:val="20"/>
                <w:lang w:val="en-GB"/>
              </w:rPr>
            </w:pPr>
            <w:r w:rsidRPr="003C36F6">
              <w:rPr>
                <w:b w:val="0"/>
                <w:sz w:val="20"/>
                <w:szCs w:val="20"/>
                <w:lang w:val="en-GB"/>
              </w:rPr>
              <w:t>Global elevation map</w:t>
            </w:r>
          </w:p>
        </w:tc>
        <w:tc>
          <w:tcPr>
            <w:tcW w:w="3163" w:type="dxa"/>
          </w:tcPr>
          <w:p w14:paraId="31699947" w14:textId="77777777" w:rsidR="003C36F6" w:rsidRPr="003C36F6" w:rsidRDefault="003C36F6" w:rsidP="003606D6">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3C36F6">
              <w:rPr>
                <w:sz w:val="20"/>
                <w:szCs w:val="20"/>
                <w:lang w:val="en-GB"/>
              </w:rPr>
              <w:t>0.008 * 0.008 (</w:t>
            </w:r>
            <w:proofErr w:type="spellStart"/>
            <w:r w:rsidRPr="003C36F6">
              <w:rPr>
                <w:sz w:val="20"/>
                <w:szCs w:val="20"/>
                <w:lang w:val="en-GB"/>
              </w:rPr>
              <w:t>approx</w:t>
            </w:r>
            <w:proofErr w:type="spellEnd"/>
            <w:r w:rsidRPr="003C36F6">
              <w:rPr>
                <w:sz w:val="20"/>
                <w:szCs w:val="20"/>
                <w:lang w:val="en-GB"/>
              </w:rPr>
              <w:t>: 1 km</w:t>
            </w:r>
            <w:r w:rsidRPr="003C36F6">
              <w:rPr>
                <w:sz w:val="20"/>
                <w:szCs w:val="20"/>
                <w:vertAlign w:val="superscript"/>
                <w:lang w:val="en-GB"/>
              </w:rPr>
              <w:t>2</w:t>
            </w:r>
            <w:r w:rsidRPr="003C36F6">
              <w:rPr>
                <w:sz w:val="20"/>
                <w:szCs w:val="20"/>
                <w:lang w:val="en-GB"/>
              </w:rPr>
              <w:t>)</w:t>
            </w:r>
          </w:p>
        </w:tc>
        <w:tc>
          <w:tcPr>
            <w:tcW w:w="1376" w:type="dxa"/>
          </w:tcPr>
          <w:p w14:paraId="3B2A0F09" w14:textId="77777777" w:rsidR="003C36F6" w:rsidRPr="003C36F6" w:rsidRDefault="003C36F6" w:rsidP="003606D6">
            <w:pPr>
              <w:jc w:val="center"/>
              <w:cnfStyle w:val="000000000000" w:firstRow="0" w:lastRow="0" w:firstColumn="0" w:lastColumn="0" w:oddVBand="0" w:evenVBand="0" w:oddHBand="0"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1ir2NjbN","properties":{"formattedCitation":"[32]","plainCitation":"[32]"},"citationItems":[{"id":76,"uris":["http://zotero.org/users/2331352/items/95RE4RHK"],"uri":["http://zotero.org/users/2331352/items/95RE4RHK"],"itemData":{"id":76,"type":"webpage","title":"SRTM 90m Digital Elevation Database v4.1 | CGIAR-CSI","URL":"http://www.cgiar-csi.org/data/srtm-90m-digital-elevation-database-v4-1#download","accessed":{"date-parts":[["2015",10,16]]}}}],"schema":"https://github.com/citation-style-language/schema/raw/master/csl-citation.json"}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[32]</w:t>
            </w:r>
            <w:r w:rsidRPr="003C36F6">
              <w:rPr>
                <w:color w:val="8496B0" w:themeColor="text2" w:themeTint="99"/>
                <w:sz w:val="20"/>
                <w:szCs w:val="20"/>
                <w:lang w:val="en-GB"/>
              </w:rPr>
              <w:fldChar w:fldCharType="end"/>
            </w:r>
          </w:p>
        </w:tc>
      </w:tr>
      <w:tr w:rsidR="003C36F6" w:rsidRPr="003C36F6" w14:paraId="41EDA179" w14:textId="77777777" w:rsidTr="003C3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3D48ED51" w14:textId="77777777" w:rsidR="003C36F6" w:rsidRPr="003C36F6" w:rsidRDefault="003C36F6" w:rsidP="003606D6">
            <w:pPr>
              <w:jc w:val="both"/>
              <w:rPr>
                <w:b w:val="0"/>
                <w:sz w:val="20"/>
                <w:szCs w:val="20"/>
                <w:lang w:val="en-GB"/>
              </w:rPr>
            </w:pPr>
            <w:r w:rsidRPr="003C36F6">
              <w:rPr>
                <w:b w:val="0"/>
                <w:sz w:val="20"/>
                <w:szCs w:val="20"/>
                <w:lang w:val="en-GB"/>
              </w:rPr>
              <w:t>Global slope map</w:t>
            </w:r>
          </w:p>
        </w:tc>
        <w:tc>
          <w:tcPr>
            <w:tcW w:w="3163" w:type="dxa"/>
          </w:tcPr>
          <w:p w14:paraId="31C51F08"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3C36F6">
              <w:rPr>
                <w:sz w:val="20"/>
                <w:szCs w:val="20"/>
                <w:lang w:val="en-GB"/>
              </w:rPr>
              <w:t xml:space="preserve">same (derived from </w:t>
            </w:r>
            <w:proofErr w:type="spellStart"/>
            <w:r w:rsidRPr="003C36F6">
              <w:rPr>
                <w:sz w:val="20"/>
                <w:szCs w:val="20"/>
                <w:lang w:val="en-GB"/>
              </w:rPr>
              <w:t>elevtion</w:t>
            </w:r>
            <w:proofErr w:type="spellEnd"/>
            <w:r w:rsidRPr="003C36F6">
              <w:rPr>
                <w:sz w:val="20"/>
                <w:szCs w:val="20"/>
                <w:lang w:val="en-GB"/>
              </w:rPr>
              <w:t>)</w:t>
            </w:r>
          </w:p>
        </w:tc>
        <w:tc>
          <w:tcPr>
            <w:tcW w:w="1376" w:type="dxa"/>
          </w:tcPr>
          <w:p w14:paraId="7244513E"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lditPmyk","properties":{"formattedCitation":"[32]","plainCitation":"[32]"},"citationItems":[{"id":76,"uris":["http://zotero.org/users/2331352/items/95RE4RHK"],"uri":["http://zotero.org/users/2331352/items/95RE4RHK"],"itemData":{"id":76,"type":"webpage","title":"SRTM 90m Digital Elevation Database v4.1 | CGIAR-CSI","URL":"http://www.cgiar-csi.org/data/srtm-90m-digital-elevation-database-v4-1#download","accessed":{"date-parts":[["2015",10,16]]}}}],"schema":"https://github.com/citation-style-language/schema/raw/master/csl-citation.json"}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[32]</w:t>
            </w:r>
            <w:r w:rsidRPr="003C36F6">
              <w:rPr>
                <w:color w:val="8496B0" w:themeColor="text2" w:themeTint="99"/>
                <w:sz w:val="20"/>
                <w:szCs w:val="20"/>
                <w:lang w:val="en-GB"/>
              </w:rPr>
              <w:fldChar w:fldCharType="end"/>
            </w:r>
          </w:p>
        </w:tc>
      </w:tr>
      <w:tr w:rsidR="003C36F6" w:rsidRPr="003C36F6" w14:paraId="3291E75D" w14:textId="77777777" w:rsidTr="003C36F6">
        <w:tc>
          <w:tcPr>
            <w:cnfStyle w:val="001000000000" w:firstRow="0" w:lastRow="0" w:firstColumn="1" w:lastColumn="0" w:oddVBand="0" w:evenVBand="0" w:oddHBand="0" w:evenHBand="0" w:firstRowFirstColumn="0" w:firstRowLastColumn="0" w:lastRowFirstColumn="0" w:lastRowLastColumn="0"/>
            <w:tcW w:w="3278" w:type="dxa"/>
          </w:tcPr>
          <w:p w14:paraId="545872CD" w14:textId="77777777" w:rsidR="003C36F6" w:rsidRPr="003C36F6" w:rsidRDefault="003C36F6" w:rsidP="003606D6">
            <w:pPr>
              <w:jc w:val="both"/>
              <w:rPr>
                <w:b w:val="0"/>
                <w:sz w:val="20"/>
                <w:szCs w:val="20"/>
                <w:lang w:val="en-GB"/>
              </w:rPr>
            </w:pPr>
            <w:r w:rsidRPr="003C36F6">
              <w:rPr>
                <w:b w:val="0"/>
                <w:sz w:val="20"/>
                <w:szCs w:val="20"/>
                <w:lang w:val="en-GB"/>
              </w:rPr>
              <w:t>Global urban areas</w:t>
            </w:r>
          </w:p>
        </w:tc>
        <w:tc>
          <w:tcPr>
            <w:tcW w:w="3163" w:type="dxa"/>
          </w:tcPr>
          <w:p w14:paraId="60390620" w14:textId="77777777" w:rsidR="003C36F6" w:rsidRPr="003C36F6" w:rsidRDefault="003C36F6" w:rsidP="003606D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3C36F6">
              <w:rPr>
                <w:sz w:val="20"/>
                <w:szCs w:val="20"/>
                <w:lang w:val="en-GB"/>
              </w:rPr>
              <w:t>same</w:t>
            </w:r>
          </w:p>
        </w:tc>
        <w:tc>
          <w:tcPr>
            <w:tcW w:w="1376" w:type="dxa"/>
          </w:tcPr>
          <w:p w14:paraId="06ACE9CC" w14:textId="77777777" w:rsidR="003C36F6" w:rsidRPr="003C36F6" w:rsidRDefault="003C36F6" w:rsidP="003606D6">
            <w:pPr>
              <w:jc w:val="center"/>
              <w:cnfStyle w:val="000000000000" w:firstRow="0" w:lastRow="0" w:firstColumn="0" w:lastColumn="0" w:oddVBand="0" w:evenVBand="0" w:oddHBand="0"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t11vyns9","properties":{"formattedCitation":"[33]","plainCitation":"[33]"},"citationItems":[{"id":78,"uris":["http://zotero.org/users/2331352/items/FAIGVNIS"],"uri":["http://zotero.org/users/2331352/items/FAIGVNIS"],"itemData":{"id":78,"type":"webpage","title":"GIS-Lab: VMap0 data in ESRI shape format","URL":"http://gis-lab.info/qa/vmap0-eng.html","accessed":{"date-parts":[["2015",10,16]]}}}],"schema":"https://github.com/citation-style-language/schema/raw/master/csl-citation.json"}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[33]</w:t>
            </w:r>
            <w:r w:rsidRPr="003C36F6">
              <w:rPr>
                <w:color w:val="8496B0" w:themeColor="text2" w:themeTint="99"/>
                <w:sz w:val="20"/>
                <w:szCs w:val="20"/>
                <w:lang w:val="en-GB"/>
              </w:rPr>
              <w:fldChar w:fldCharType="end"/>
            </w:r>
          </w:p>
        </w:tc>
      </w:tr>
      <w:tr w:rsidR="003C36F6" w:rsidRPr="003C36F6" w14:paraId="2F93004B" w14:textId="77777777" w:rsidTr="003C3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2265B3BA" w14:textId="77777777" w:rsidR="003C36F6" w:rsidRPr="003C36F6" w:rsidRDefault="003C36F6" w:rsidP="003606D6">
            <w:pPr>
              <w:jc w:val="both"/>
              <w:rPr>
                <w:b w:val="0"/>
                <w:sz w:val="20"/>
                <w:szCs w:val="20"/>
                <w:lang w:val="en-GB"/>
              </w:rPr>
            </w:pPr>
            <w:r w:rsidRPr="003C36F6">
              <w:rPr>
                <w:b w:val="0"/>
                <w:sz w:val="20"/>
                <w:szCs w:val="20"/>
                <w:lang w:val="en-GB"/>
              </w:rPr>
              <w:t>Global protected areas</w:t>
            </w:r>
          </w:p>
        </w:tc>
        <w:tc>
          <w:tcPr>
            <w:tcW w:w="3163" w:type="dxa"/>
          </w:tcPr>
          <w:p w14:paraId="32ACB15A"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3C36F6">
              <w:rPr>
                <w:sz w:val="20"/>
                <w:szCs w:val="20"/>
                <w:lang w:val="en-GB"/>
              </w:rPr>
              <w:t>same</w:t>
            </w:r>
          </w:p>
        </w:tc>
        <w:tc>
          <w:tcPr>
            <w:tcW w:w="1376" w:type="dxa"/>
          </w:tcPr>
          <w:p w14:paraId="261C87D0"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c3ppqB70","properties":{"formattedCitation":"[34]","plainCitation":"[34]"},"citationItems":[{"id":77,"uris":["http://zotero.org/users/2331352/items/HJ3VSZH8"],"uri":["http://zotero.org/users/2331352/items/HJ3VSZH8"],"itemData":{"id":77,"type":"webpage","title":"Protected Planet","URL":"http://www.protectedplanet.net/","accessed":{"date-parts":[["2015",10,16]]}}}],"schema":"https://github.com/citation-style-language/schema/raw/master/csl-citation.json"}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[34]</w:t>
            </w:r>
            <w:r w:rsidRPr="003C36F6">
              <w:rPr>
                <w:color w:val="8496B0" w:themeColor="text2" w:themeTint="99"/>
                <w:sz w:val="20"/>
                <w:szCs w:val="20"/>
                <w:lang w:val="en-GB"/>
              </w:rPr>
              <w:fldChar w:fldCharType="end"/>
            </w:r>
          </w:p>
        </w:tc>
      </w:tr>
      <w:tr w:rsidR="003C36F6" w:rsidRPr="003C36F6" w14:paraId="7A494373" w14:textId="77777777" w:rsidTr="003C36F6">
        <w:tc>
          <w:tcPr>
            <w:cnfStyle w:val="001000000000" w:firstRow="0" w:lastRow="0" w:firstColumn="1" w:lastColumn="0" w:oddVBand="0" w:evenVBand="0" w:oddHBand="0" w:evenHBand="0" w:firstRowFirstColumn="0" w:firstRowLastColumn="0" w:lastRowFirstColumn="0" w:lastRowLastColumn="0"/>
            <w:tcW w:w="3278" w:type="dxa"/>
          </w:tcPr>
          <w:p w14:paraId="357F0CE5" w14:textId="77777777" w:rsidR="003C36F6" w:rsidRPr="003C36F6" w:rsidRDefault="003C36F6" w:rsidP="003606D6">
            <w:pPr>
              <w:jc w:val="both"/>
              <w:rPr>
                <w:b w:val="0"/>
                <w:sz w:val="20"/>
                <w:szCs w:val="20"/>
                <w:lang w:val="en-GB"/>
              </w:rPr>
            </w:pPr>
            <w:r w:rsidRPr="003C36F6">
              <w:rPr>
                <w:b w:val="0"/>
                <w:sz w:val="20"/>
                <w:szCs w:val="20"/>
                <w:lang w:val="en-GB"/>
              </w:rPr>
              <w:t>Inland water bodies</w:t>
            </w:r>
          </w:p>
        </w:tc>
        <w:tc>
          <w:tcPr>
            <w:tcW w:w="3163" w:type="dxa"/>
          </w:tcPr>
          <w:p w14:paraId="661E8A40" w14:textId="77777777" w:rsidR="003C36F6" w:rsidRPr="003C36F6" w:rsidRDefault="003C36F6" w:rsidP="003606D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3C36F6">
              <w:rPr>
                <w:sz w:val="20"/>
                <w:szCs w:val="20"/>
                <w:lang w:val="en-GB"/>
              </w:rPr>
              <w:t>same</w:t>
            </w:r>
          </w:p>
        </w:tc>
        <w:tc>
          <w:tcPr>
            <w:tcW w:w="1376" w:type="dxa"/>
          </w:tcPr>
          <w:p w14:paraId="3CAAAA05" w14:textId="77777777" w:rsidR="003C36F6" w:rsidRPr="003C36F6" w:rsidRDefault="003C36F6" w:rsidP="003606D6">
            <w:pPr>
              <w:jc w:val="center"/>
              <w:cnfStyle w:val="000000000000" w:firstRow="0" w:lastRow="0" w:firstColumn="0" w:lastColumn="0" w:oddVBand="0" w:evenVBand="0" w:oddHBand="0"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b2UNXl7H","properties":{"formattedCitation":"[33]","plainCitation":"[33]"},"citationItems":[{"id":78,"uris":["http://zotero.org/users/2331352/items/FAIGVNIS"],"uri":["http://zotero.org/users/2331352/items/FAIGVNIS"],"itemData":{"id":78,"type":"webpage","title":"GIS-Lab: VMap0 data in ESRI shape format","URL":"http://gis-lab.info/qa/vmap0-eng.html","accessed":{"date-parts":[["2015",10,16]]}}}],"schema":"https://github.com/citation-style-language/schema/raw/master/csl-citation.json"}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[33]</w:t>
            </w:r>
            <w:r w:rsidRPr="003C36F6">
              <w:rPr>
                <w:color w:val="8496B0" w:themeColor="text2" w:themeTint="99"/>
                <w:sz w:val="20"/>
                <w:szCs w:val="20"/>
                <w:lang w:val="en-GB"/>
              </w:rPr>
              <w:fldChar w:fldCharType="end"/>
            </w:r>
          </w:p>
        </w:tc>
      </w:tr>
      <w:tr w:rsidR="003C36F6" w:rsidRPr="003C36F6" w14:paraId="146F6890" w14:textId="77777777" w:rsidTr="003C3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8" w:type="dxa"/>
          </w:tcPr>
          <w:p w14:paraId="67AD9779" w14:textId="77777777" w:rsidR="003C36F6" w:rsidRPr="003C36F6" w:rsidRDefault="003C36F6" w:rsidP="003606D6">
            <w:pPr>
              <w:jc w:val="both"/>
              <w:rPr>
                <w:b w:val="0"/>
                <w:sz w:val="20"/>
                <w:szCs w:val="20"/>
                <w:lang w:val="en-GB"/>
              </w:rPr>
            </w:pPr>
            <w:r w:rsidRPr="003C36F6">
              <w:rPr>
                <w:b w:val="0"/>
                <w:sz w:val="20"/>
                <w:szCs w:val="20"/>
                <w:lang w:val="en-GB"/>
              </w:rPr>
              <w:t>Global country boundaries</w:t>
            </w:r>
          </w:p>
        </w:tc>
        <w:tc>
          <w:tcPr>
            <w:tcW w:w="3163" w:type="dxa"/>
          </w:tcPr>
          <w:p w14:paraId="0998F12D"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3C36F6">
              <w:rPr>
                <w:sz w:val="20"/>
                <w:szCs w:val="20"/>
                <w:lang w:val="en-GB"/>
              </w:rPr>
              <w:t>NA</w:t>
            </w:r>
          </w:p>
        </w:tc>
        <w:tc>
          <w:tcPr>
            <w:tcW w:w="1376" w:type="dxa"/>
          </w:tcPr>
          <w:p w14:paraId="4B68F442" w14:textId="77777777" w:rsidR="003C36F6" w:rsidRPr="003C36F6" w:rsidRDefault="003C36F6" w:rsidP="003606D6">
            <w:pPr>
              <w:jc w:val="center"/>
              <w:cnfStyle w:val="000000100000" w:firstRow="0" w:lastRow="0" w:firstColumn="0" w:lastColumn="0" w:oddVBand="0" w:evenVBand="0" w:oddHBand="1" w:evenHBand="0" w:firstRowFirstColumn="0" w:firstRowLastColumn="0" w:lastRowFirstColumn="0" w:lastRowLastColumn="0"/>
              <w:rPr>
                <w:color w:val="8496B0" w:themeColor="text2" w:themeTint="99"/>
                <w:sz w:val="20"/>
                <w:szCs w:val="20"/>
                <w:lang w:val="en-GB"/>
              </w:rPr>
            </w:pPr>
            <w:r w:rsidRPr="003C36F6">
              <w:rPr>
                <w:color w:val="8496B0" w:themeColor="text2" w:themeTint="99"/>
                <w:sz w:val="20"/>
                <w:szCs w:val="20"/>
                <w:lang w:val="en-GB"/>
              </w:rPr>
              <w:fldChar w:fldCharType="begin"/>
            </w:r>
            <w:r w:rsidRPr="003C36F6">
              <w:rPr>
                <w:color w:val="8496B0" w:themeColor="text2" w:themeTint="99"/>
                <w:sz w:val="20"/>
                <w:szCs w:val="20"/>
                <w:lang w:val="en-GB"/>
              </w:rPr>
              <w:instrText xml:space="preserve"> ADDIN ZOTERO_ITEM CSL_CITATION {"citationID":"vaYtVYrT","properties":{"formattedCitation":"[35]","plainCitation":"[35]"},"citationItems":[{"id":73,"uris":["http://zotero.org/users/2331352/items/S43UPC6B"],"uri":["http://zotero.org/users/2331352/items/S43UPC6B"],"itemData":{"id":73,"type":"webpage","title":"Free Spatial Data | DIVA-GIS","URL":"http://www.diva-gis.org/Data","accessed":{"date-parts":[["2015",10,16]]}}}],"schema":"https://github.com/citation-style-language/schema/raw/master/csl-citation.json"} </w:instrText>
            </w:r>
            <w:r w:rsidRPr="003C36F6">
              <w:rPr>
                <w:color w:val="8496B0" w:themeColor="text2" w:themeTint="99"/>
                <w:sz w:val="20"/>
                <w:szCs w:val="20"/>
                <w:lang w:val="en-GB"/>
              </w:rPr>
              <w:fldChar w:fldCharType="separate"/>
            </w:r>
            <w:r w:rsidRPr="003C36F6">
              <w:rPr>
                <w:rFonts w:cs="Times New Roman"/>
                <w:sz w:val="20"/>
                <w:szCs w:val="20"/>
              </w:rPr>
              <w:t>[35]</w:t>
            </w:r>
            <w:r w:rsidRPr="003C36F6">
              <w:rPr>
                <w:color w:val="8496B0" w:themeColor="text2" w:themeTint="99"/>
                <w:sz w:val="20"/>
                <w:szCs w:val="20"/>
                <w:lang w:val="en-GB"/>
              </w:rPr>
              <w:fldChar w:fldCharType="end"/>
            </w:r>
          </w:p>
        </w:tc>
      </w:tr>
    </w:tbl>
    <w:p w14:paraId="110B14F6" w14:textId="77777777" w:rsidR="003C36F6" w:rsidRDefault="003C36F6" w:rsidP="003C36F6">
      <w:pPr>
        <w:pStyle w:val="Heading2"/>
        <w:spacing w:before="0" w:line="240" w:lineRule="auto"/>
        <w:jc w:val="both"/>
        <w:rPr>
          <w:color w:val="auto"/>
        </w:rPr>
      </w:pPr>
    </w:p>
    <w:p w14:paraId="712FE121" w14:textId="77777777" w:rsidR="003C36F6" w:rsidRPr="003C36F6" w:rsidRDefault="003C36F6" w:rsidP="003C36F6">
      <w:pPr>
        <w:pStyle w:val="Heading2"/>
        <w:numPr>
          <w:ilvl w:val="1"/>
          <w:numId w:val="3"/>
        </w:numPr>
        <w:spacing w:before="0" w:line="240" w:lineRule="auto"/>
        <w:jc w:val="both"/>
        <w:rPr>
          <w:rFonts w:ascii="Times New Roman" w:hAnsi="Times New Roman" w:cs="Times New Roman"/>
          <w:b/>
          <w:color w:val="auto"/>
          <w:sz w:val="24"/>
          <w:szCs w:val="24"/>
        </w:rPr>
      </w:pPr>
      <w:proofErr w:type="spellStart"/>
      <w:r w:rsidRPr="003C36F6">
        <w:rPr>
          <w:rFonts w:ascii="Times New Roman" w:hAnsi="Times New Roman" w:cs="Times New Roman"/>
          <w:b/>
          <w:color w:val="auto"/>
          <w:sz w:val="24"/>
          <w:szCs w:val="24"/>
        </w:rPr>
        <w:t>Geographic</w:t>
      </w:r>
      <w:proofErr w:type="spellEnd"/>
      <w:r w:rsidRPr="003C36F6">
        <w:rPr>
          <w:rFonts w:ascii="Times New Roman" w:hAnsi="Times New Roman" w:cs="Times New Roman"/>
          <w:b/>
          <w:color w:val="auto"/>
          <w:sz w:val="24"/>
          <w:szCs w:val="24"/>
        </w:rPr>
        <w:t xml:space="preserve"> information system</w:t>
      </w:r>
    </w:p>
    <w:p w14:paraId="54DC9EEE" w14:textId="77777777" w:rsidR="003C36F6" w:rsidRPr="007F460F" w:rsidRDefault="003C36F6" w:rsidP="003C36F6">
      <w:pPr>
        <w:spacing w:after="0" w:line="240" w:lineRule="auto"/>
        <w:jc w:val="both"/>
        <w:rPr>
          <w:lang w:val="en-US"/>
        </w:rPr>
      </w:pPr>
    </w:p>
    <w:p w14:paraId="2EC9F8B0" w14:textId="77777777" w:rsidR="003C36F6" w:rsidRPr="003C36F6" w:rsidRDefault="003C36F6" w:rsidP="003C36F6">
      <w:pPr>
        <w:spacing w:after="120" w:line="312" w:lineRule="auto"/>
        <w:jc w:val="both"/>
        <w:rPr>
          <w:sz w:val="22"/>
          <w:lang w:val="en-US"/>
        </w:rPr>
      </w:pPr>
      <w:r w:rsidRPr="003C36F6">
        <w:rPr>
          <w:sz w:val="22"/>
          <w:lang w:val="en-US"/>
        </w:rPr>
        <w:t xml:space="preserve">The Geographic Information System (GIS) tool can be used for processing the energy resources geographical data. </w:t>
      </w:r>
      <w:r w:rsidRPr="003C36F6">
        <w:rPr>
          <w:rFonts w:eastAsia="Calibri" w:cs="Times New Roman"/>
          <w:sz w:val="22"/>
          <w:lang w:val="en-GB"/>
        </w:rPr>
        <w:t>It can capture, store and manipulate the input data to obtain a holistic view of the study.</w:t>
      </w:r>
      <w:r w:rsidRPr="003C36F6">
        <w:rPr>
          <w:sz w:val="22"/>
          <w:lang w:val="en-US"/>
        </w:rPr>
        <w:t xml:space="preserve"> It can be used as a decision support system. It </w:t>
      </w:r>
      <w:r w:rsidRPr="003C36F6">
        <w:rPr>
          <w:rFonts w:eastAsia="Calibri" w:cs="Times New Roman"/>
          <w:sz w:val="22"/>
          <w:lang w:val="en-GB"/>
        </w:rPr>
        <w:t xml:space="preserve">helps in pointing out the potential, which can be used for better transmission and distribution of renewable energy resources in a region. </w:t>
      </w:r>
      <w:r w:rsidRPr="003C36F6">
        <w:rPr>
          <w:sz w:val="22"/>
          <w:lang w:val="en-US"/>
        </w:rPr>
        <w:t xml:space="preserve">It combines and process large amount of spatial data, which later on becomes </w:t>
      </w:r>
      <w:proofErr w:type="gramStart"/>
      <w:r w:rsidRPr="003C36F6">
        <w:rPr>
          <w:sz w:val="22"/>
          <w:lang w:val="en-US"/>
        </w:rPr>
        <w:t>more handy</w:t>
      </w:r>
      <w:proofErr w:type="gramEnd"/>
      <w:r w:rsidRPr="003C36F6">
        <w:rPr>
          <w:sz w:val="22"/>
          <w:lang w:val="en-US"/>
        </w:rPr>
        <w:t xml:space="preserve"> and understandable to the decision makers. The application of GIS tool for the assessment of energy resources started in the 1990s and it made a reasonable progress till now. </w:t>
      </w:r>
      <w:r w:rsidRPr="003C36F6">
        <w:rPr>
          <w:rFonts w:eastAsia="Calibri" w:cs="Times New Roman"/>
          <w:sz w:val="22"/>
          <w:lang w:val="en-GB"/>
        </w:rPr>
        <w:t>GIS software can be used for the assessment of renewable energy resources just like solar, biomass, wind, and hydro-power etc. on national and global level.</w:t>
      </w:r>
    </w:p>
    <w:p w14:paraId="155644D1" w14:textId="77777777" w:rsidR="003C36F6" w:rsidRPr="003C36F6" w:rsidRDefault="003C36F6" w:rsidP="003C36F6">
      <w:pPr>
        <w:pStyle w:val="Heading2"/>
        <w:numPr>
          <w:ilvl w:val="1"/>
          <w:numId w:val="3"/>
        </w:numPr>
        <w:spacing w:before="0" w:line="240" w:lineRule="auto"/>
        <w:jc w:val="both"/>
        <w:rPr>
          <w:rFonts w:ascii="Times New Roman" w:hAnsi="Times New Roman" w:cs="Times New Roman"/>
          <w:b/>
          <w:color w:val="auto"/>
          <w:sz w:val="24"/>
          <w:szCs w:val="24"/>
        </w:rPr>
      </w:pPr>
      <w:proofErr w:type="spellStart"/>
      <w:r w:rsidRPr="003C36F6">
        <w:rPr>
          <w:rFonts w:ascii="Times New Roman" w:hAnsi="Times New Roman" w:cs="Times New Roman"/>
          <w:b/>
          <w:color w:val="auto"/>
          <w:sz w:val="24"/>
          <w:szCs w:val="24"/>
        </w:rPr>
        <w:t>Methodology</w:t>
      </w:r>
      <w:proofErr w:type="spellEnd"/>
    </w:p>
    <w:p w14:paraId="299AC757" w14:textId="77777777" w:rsidR="003C36F6" w:rsidRPr="007F460F" w:rsidRDefault="003C36F6" w:rsidP="003C36F6">
      <w:pPr>
        <w:spacing w:after="0" w:line="240" w:lineRule="auto"/>
        <w:jc w:val="both"/>
        <w:rPr>
          <w:lang w:val="en-GB"/>
        </w:rPr>
      </w:pPr>
    </w:p>
    <w:p w14:paraId="31DE1E09" w14:textId="77777777" w:rsidR="003C36F6" w:rsidRPr="003C36F6" w:rsidRDefault="003C36F6" w:rsidP="003C36F6">
      <w:pPr>
        <w:spacing w:after="120" w:line="312" w:lineRule="auto"/>
        <w:jc w:val="both"/>
        <w:rPr>
          <w:sz w:val="22"/>
          <w:lang w:val="en-US"/>
        </w:rPr>
      </w:pPr>
      <w:r w:rsidRPr="003C36F6">
        <w:rPr>
          <w:sz w:val="22"/>
          <w:lang w:val="en-US"/>
        </w:rPr>
        <w:t>In order to estimate the wind energy potential available in each grid cell it is very necessary to obtain the wind speed probability distribution. It provides the repetition frequency of a specific wind speed reading (1 to 25 m/s) at a given site. In this study, due to the availability of yearly average wind speed, the Rayleigh probability distribution was used to estimate the wind speed frequency distribution in each 0.5</w:t>
      </w:r>
      <w:r w:rsidRPr="003C36F6">
        <w:rPr>
          <w:sz w:val="22"/>
          <w:vertAlign w:val="superscript"/>
          <w:lang w:val="en-US"/>
        </w:rPr>
        <w:t>o</w:t>
      </w:r>
      <w:r w:rsidRPr="003C36F6">
        <w:rPr>
          <w:sz w:val="22"/>
          <w:lang w:val="en-US"/>
        </w:rPr>
        <w:t>*0.5</w:t>
      </w:r>
      <w:r w:rsidRPr="003C36F6">
        <w:rPr>
          <w:sz w:val="22"/>
          <w:vertAlign w:val="superscript"/>
          <w:lang w:val="en-US"/>
        </w:rPr>
        <w:t xml:space="preserve">o </w:t>
      </w:r>
      <w:r w:rsidRPr="003C36F6">
        <w:rPr>
          <w:sz w:val="22"/>
          <w:lang w:val="en-US"/>
        </w:rPr>
        <w:t>(55 km</w:t>
      </w:r>
      <w:r w:rsidRPr="003C36F6">
        <w:rPr>
          <w:sz w:val="22"/>
          <w:vertAlign w:val="superscript"/>
          <w:lang w:val="en-US"/>
        </w:rPr>
        <w:t>2</w:t>
      </w:r>
      <w:r w:rsidRPr="003C36F6">
        <w:rPr>
          <w:sz w:val="22"/>
          <w:lang w:val="en-US"/>
        </w:rPr>
        <w:t xml:space="preserve"> approximately) sized grid cell. Later on, for the estimation of the wind power capacity factor, the Rayleigh wind speed probability distribution, the wind turbine power curve, the number of hours in a year, the wind turbine availability factor and other losses were used in order to get the achievable wind power capacity factor in each grid cell. Finally, the spatial distribution of wind power capacity factor was visualized on a GIS map. Additional details on all the methodological steps used in this study are given in the following sections.</w:t>
      </w:r>
    </w:p>
    <w:p w14:paraId="31331969" w14:textId="77777777" w:rsidR="003C36F6" w:rsidRPr="003C36F6" w:rsidRDefault="003C36F6" w:rsidP="003C36F6">
      <w:pPr>
        <w:pStyle w:val="Heading3"/>
        <w:numPr>
          <w:ilvl w:val="2"/>
          <w:numId w:val="3"/>
        </w:numPr>
        <w:rPr>
          <w:rFonts w:ascii="Times New Roman" w:eastAsia="Times New Roman" w:hAnsi="Times New Roman" w:cs="Times New Roman"/>
          <w:color w:val="auto"/>
          <w:sz w:val="22"/>
        </w:rPr>
      </w:pPr>
      <w:r w:rsidRPr="003C36F6">
        <w:rPr>
          <w:rFonts w:ascii="Times New Roman" w:eastAsia="Times New Roman" w:hAnsi="Times New Roman" w:cs="Times New Roman"/>
          <w:color w:val="auto"/>
          <w:sz w:val="22"/>
        </w:rPr>
        <w:t>Wind speed extrapolation</w:t>
      </w:r>
    </w:p>
    <w:p w14:paraId="10629854" w14:textId="77777777" w:rsidR="003C36F6" w:rsidRPr="007F460F" w:rsidRDefault="003C36F6" w:rsidP="003C36F6">
      <w:pPr>
        <w:spacing w:after="0" w:line="240" w:lineRule="auto"/>
        <w:jc w:val="both"/>
        <w:rPr>
          <w:rFonts w:eastAsia="Calibri" w:cs="Times New Roman"/>
          <w:szCs w:val="24"/>
          <w:lang w:val="en-GB"/>
        </w:rPr>
      </w:pPr>
    </w:p>
    <w:p w14:paraId="317A976C" w14:textId="77777777" w:rsidR="003C36F6" w:rsidRPr="003C36F6" w:rsidRDefault="003C36F6" w:rsidP="003C36F6">
      <w:pPr>
        <w:spacing w:after="120" w:line="312" w:lineRule="auto"/>
        <w:jc w:val="both"/>
        <w:rPr>
          <w:rFonts w:eastAsia="Calibri" w:cs="Times New Roman"/>
          <w:sz w:val="22"/>
          <w:lang w:val="en-GB"/>
        </w:rPr>
      </w:pPr>
      <w:r w:rsidRPr="003C36F6">
        <w:rPr>
          <w:rFonts w:eastAsia="Calibri" w:cs="Times New Roman"/>
          <w:sz w:val="22"/>
          <w:lang w:val="en-GB"/>
        </w:rPr>
        <w:t xml:space="preserve">The wind speed changes with altitude because of frictional effects at the surface of the earth. Since the wind speed data are given at 10m height </w:t>
      </w:r>
      <w:r w:rsidRPr="003C36F6">
        <w:rPr>
          <w:rFonts w:eastAsia="Calibri" w:cs="Times New Roman"/>
          <w:color w:val="8496B0" w:themeColor="text2" w:themeTint="99"/>
          <w:sz w:val="22"/>
          <w:lang w:val="en-GB"/>
        </w:rPr>
        <w:fldChar w:fldCharType="begin"/>
      </w:r>
      <w:r w:rsidRPr="003C36F6">
        <w:rPr>
          <w:rFonts w:eastAsia="Calibri" w:cs="Times New Roman"/>
          <w:color w:val="8496B0" w:themeColor="text2" w:themeTint="99"/>
          <w:sz w:val="22"/>
          <w:lang w:val="en-GB"/>
        </w:rPr>
        <w:instrText xml:space="preserve"> ADDIN ZOTERO_ITEM CSL_CITATION {"citationID":"e8n08uMD","properties":{"formattedCitation":"[29]","plainCitation":"[29]"},"citationItems":[{"id":19,"uris":["http://zotero.org/users/local/e8NniAXZ/items/F6S57UMR"],"uri":["http://zotero.org/users/local/e8NniAXZ/items/F6S57UMR"],"itemData":{"id":19,"type":"webpage","title":"Goddard Earth Sciences Data and Information Services Center","URL":"http://disc.sci.gsfc.nasa.gov/mdisc/additional/tools","author":[{"family":"NASA","given":""}],"issued":{"date-parts":[["2015"]]},"accessed":{"date-parts":[["2015",10,6]]}}}],"schema":"https://github.com/citation-style-language/schema/raw/master/csl-citation.json"} </w:instrText>
      </w:r>
      <w:r w:rsidRPr="003C36F6">
        <w:rPr>
          <w:rFonts w:eastAsia="Calibri" w:cs="Times New Roman"/>
          <w:color w:val="8496B0" w:themeColor="text2" w:themeTint="99"/>
          <w:sz w:val="22"/>
          <w:lang w:val="en-GB"/>
        </w:rPr>
        <w:fldChar w:fldCharType="separate"/>
      </w:r>
      <w:r w:rsidRPr="003C36F6">
        <w:rPr>
          <w:rFonts w:cs="Times New Roman"/>
          <w:sz w:val="22"/>
          <w:lang w:val="en-US"/>
        </w:rPr>
        <w:t>[29]</w:t>
      </w:r>
      <w:r w:rsidRPr="003C36F6">
        <w:rPr>
          <w:rFonts w:eastAsia="Calibri" w:cs="Times New Roman"/>
          <w:color w:val="8496B0" w:themeColor="text2" w:themeTint="99"/>
          <w:sz w:val="22"/>
          <w:lang w:val="en-GB"/>
        </w:rPr>
        <w:fldChar w:fldCharType="end"/>
      </w:r>
      <w:r w:rsidRPr="003C36F6">
        <w:rPr>
          <w:rFonts w:eastAsia="Calibri" w:cs="Times New Roman"/>
          <w:sz w:val="22"/>
          <w:lang w:val="en-GB"/>
        </w:rPr>
        <w:t xml:space="preserve">, a proper extrapolation should be applied in order to obtain wind speed reading at the hub height (55m) of the chosen wind turbine Vestas-44 (V-44) having 600kW rated power. The wind speed extrapolation can be achieved by using the power law equation, which is used by many wind energy researchers in order to extrapolate the reference wind speed to the hub height of wind turbine </w:t>
      </w:r>
      <w:r w:rsidRPr="003C36F6">
        <w:rPr>
          <w:sz w:val="22"/>
          <w:lang w:val="en-US"/>
        </w:rPr>
        <w:fldChar w:fldCharType="begin"/>
      </w:r>
      <w:r w:rsidRPr="003C36F6">
        <w:rPr>
          <w:sz w:val="22"/>
          <w:lang w:val="en-US"/>
        </w:rPr>
        <w:instrText xml:space="preserve"> ADDIN ZOTERO_ITEM CSL_CITATION {"citationID":"eJ45ofR5","properties":{"formattedCitation":"[30]","plainCitation":"[30]"},"citationItems":[{"id":98,"uris":["http://zotero.org/users/2331352/items/WCQENW22"],"uri":["http://zotero.org/users/2331352/items/WCQENW22"],"itemData":{"id":98,"type":"article","title":"Designing an index for assessing wind energy potential - 1-s2.0-S0960148115003183-main.pdf","URL":"http://ac.els-cdn.com.focus.lib.kth.se/S0960148115003183/1-s2.0-S0960148115003183-main.pdf?_tid=492feb64-74fe-11e5-8cf8-00000aab0f26&amp;acdnat=1445107300_dbb0d6a60637e32f5ed2a99ffd72549e","accessed":{"date-parts":[["2015",10,17]]}}}],"schema":"https://github.com/citation-style-language/schema/raw/master/csl-citation.json"} </w:instrText>
      </w:r>
      <w:r w:rsidRPr="003C36F6">
        <w:rPr>
          <w:sz w:val="22"/>
          <w:lang w:val="en-US"/>
        </w:rPr>
        <w:fldChar w:fldCharType="separate"/>
      </w:r>
      <w:r w:rsidRPr="003C36F6">
        <w:rPr>
          <w:rFonts w:cs="Times New Roman"/>
          <w:sz w:val="22"/>
          <w:lang w:val="en-US"/>
        </w:rPr>
        <w:t>[30]</w:t>
      </w:r>
      <w:r w:rsidRPr="003C36F6">
        <w:rPr>
          <w:sz w:val="22"/>
          <w:lang w:val="en-US"/>
        </w:rPr>
        <w:fldChar w:fldCharType="end"/>
      </w:r>
      <w:r w:rsidRPr="003C36F6">
        <w:rPr>
          <w:sz w:val="22"/>
          <w:lang w:val="en-US"/>
        </w:rPr>
        <w:t xml:space="preserve"> </w:t>
      </w:r>
      <w:r w:rsidRPr="003C36F6">
        <w:rPr>
          <w:rFonts w:eastAsia="Calibri" w:cs="Times New Roman"/>
          <w:color w:val="8496B0" w:themeColor="text2" w:themeTint="99"/>
          <w:sz w:val="22"/>
          <w:lang w:val="en-GB"/>
        </w:rPr>
        <w:fldChar w:fldCharType="begin"/>
      </w:r>
      <w:r w:rsidRPr="003C36F6">
        <w:rPr>
          <w:rFonts w:eastAsia="Calibri" w:cs="Times New Roman"/>
          <w:color w:val="8496B0" w:themeColor="text2" w:themeTint="99"/>
          <w:sz w:val="22"/>
          <w:lang w:val="en-GB"/>
        </w:rPr>
        <w:instrText xml:space="preserve"> ADDIN ZOTERO_ITEM CSL_CITATION {"citationID":"pt6o60eru","properties":{"formattedCitation":"[36]","plainCitation":"[36]"},"citationItems":[{"id":78,"uris":["http://zotero.org/users/local/e8NniAXZ/items/WFFI37KI"],"uri":["http://zotero.org/users/local/e8NniAXZ/items/WFFI37KI"],"itemData":{"id":78,"type":"chapter","title":"Wind Characteristics and Resources","container-title":"Wind Energy Explained","publisher":"John Wiley &amp; Sons, Ltd","page":"23-89","source":"Wiley Online Library","abstract":"This chapter contains sections titled:\n\n* Introduction\n* General Characteristics of the Wind Resource\n* Characteristics of the Atmospheric Boundary Layer\n* Wind Data Analysis and Resource Estimation\n* Wind Turbine Energy Production Estimates Using Statistical Techniques\n* Regional Wind Resource Assessment\n* Wind Prediction and Forecasting\n* Wind Measurement and Instrumentation\n* Advanced Topics\n* References","URL":"http://onlinelibrary.wiley.com.focus.lib.kth.se/doi/10.1002/9781119994367.ch2/summary","ISBN":"9781119994367","language":"en","author":[{"family":"Manwell","given":"J. F."},{"family":"McGowan","given":"J. G."},{"family":"Rogers","given":"A. L."}],"issued":{"date-parts":[["2009"]]},"accessed":{"date-parts":[["2015",8,28]]}}}],"schema":"https://github.com/citation-style-language/schema/raw/master/csl-citation.json"} </w:instrText>
      </w:r>
      <w:r w:rsidRPr="003C36F6">
        <w:rPr>
          <w:rFonts w:eastAsia="Calibri" w:cs="Times New Roman"/>
          <w:color w:val="8496B0" w:themeColor="text2" w:themeTint="99"/>
          <w:sz w:val="22"/>
          <w:lang w:val="en-GB"/>
        </w:rPr>
        <w:fldChar w:fldCharType="separate"/>
      </w:r>
      <w:r w:rsidRPr="003C36F6">
        <w:rPr>
          <w:rFonts w:cs="Times New Roman"/>
          <w:sz w:val="22"/>
          <w:lang w:val="en-US"/>
        </w:rPr>
        <w:t>[36]</w:t>
      </w:r>
      <w:r w:rsidRPr="003C36F6">
        <w:rPr>
          <w:rFonts w:eastAsia="Calibri" w:cs="Times New Roman"/>
          <w:color w:val="8496B0" w:themeColor="text2" w:themeTint="99"/>
          <w:sz w:val="22"/>
          <w:lang w:val="en-GB"/>
        </w:rPr>
        <w:fldChar w:fldCharType="end"/>
      </w:r>
      <w:r w:rsidRPr="003C36F6">
        <w:rPr>
          <w:rFonts w:eastAsia="Calibri" w:cs="Times New Roman"/>
          <w:sz w:val="22"/>
          <w:lang w:val="en-GB"/>
        </w:rPr>
        <w:t>. It represents a simple model for the vertical wind speed profile and its basic form is:</w:t>
      </w:r>
    </w:p>
    <w:p w14:paraId="470FD9F5" w14:textId="77777777" w:rsidR="003C36F6" w:rsidRPr="00357FB8" w:rsidRDefault="00AC4AB5" w:rsidP="003C36F6">
      <w:pPr>
        <w:spacing w:after="0" w:line="240" w:lineRule="auto"/>
        <w:jc w:val="both"/>
        <w:rPr>
          <w:rFonts w:eastAsia="Times New Roman" w:cs="Times New Roman"/>
          <w:szCs w:val="24"/>
          <w:lang w:val="en-GB"/>
        </w:rPr>
      </w:pPr>
      <m:oMathPara>
        <m:oMath>
          <m:f>
            <m:fPr>
              <m:ctrlPr>
                <w:rPr>
                  <w:rFonts w:ascii="Cambria Math" w:eastAsia="Calibri" w:hAnsi="Cambria Math" w:cs="Times New Roman"/>
                  <w:i/>
                  <w:szCs w:val="24"/>
                  <w:lang w:val="en-GB"/>
                </w:rPr>
              </m:ctrlPr>
            </m:fPr>
            <m:num>
              <m:r>
                <w:rPr>
                  <w:rFonts w:ascii="Cambria Math" w:eastAsia="Calibri" w:hAnsi="Cambria Math" w:cs="Times New Roman"/>
                  <w:szCs w:val="24"/>
                  <w:lang w:val="en-GB"/>
                </w:rPr>
                <m:t>U(z)</m:t>
              </m:r>
            </m:num>
            <m:den>
              <m:r>
                <w:rPr>
                  <w:rFonts w:ascii="Cambria Math" w:eastAsia="Calibri" w:hAnsi="Cambria Math" w:cs="Times New Roman"/>
                  <w:szCs w:val="24"/>
                  <w:lang w:val="en-GB"/>
                </w:rPr>
                <m:t>U(</m:t>
              </m:r>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z</m:t>
                  </m:r>
                </m:e>
                <m:sub>
                  <m:r>
                    <w:rPr>
                      <w:rFonts w:ascii="Cambria Math" w:eastAsia="Calibri" w:hAnsi="Cambria Math" w:cs="Times New Roman"/>
                      <w:szCs w:val="24"/>
                      <w:lang w:val="en-GB"/>
                    </w:rPr>
                    <m:t>r</m:t>
                  </m:r>
                </m:sub>
              </m:sSub>
              <m:r>
                <w:rPr>
                  <w:rFonts w:ascii="Cambria Math" w:eastAsia="Calibri" w:hAnsi="Cambria Math" w:cs="Times New Roman"/>
                  <w:szCs w:val="24"/>
                  <w:lang w:val="en-GB"/>
                </w:rPr>
                <m:t>)</m:t>
              </m:r>
            </m:den>
          </m:f>
          <m:r>
            <w:rPr>
              <w:rFonts w:ascii="Cambria Math" w:eastAsia="Calibri" w:hAnsi="Cambria Math" w:cs="Times New Roman"/>
              <w:szCs w:val="24"/>
              <w:lang w:val="en-GB"/>
            </w:rPr>
            <m:t>=</m:t>
          </m:r>
          <m:sSup>
            <m:sSupPr>
              <m:ctrlPr>
                <w:rPr>
                  <w:rFonts w:ascii="Cambria Math" w:eastAsia="Calibri" w:hAnsi="Cambria Math" w:cs="Times New Roman"/>
                  <w:i/>
                  <w:szCs w:val="24"/>
                  <w:lang w:val="en-GB"/>
                </w:rPr>
              </m:ctrlPr>
            </m:sSupPr>
            <m:e>
              <m:d>
                <m:dPr>
                  <m:ctrlPr>
                    <w:rPr>
                      <w:rFonts w:ascii="Cambria Math" w:eastAsia="Calibri" w:hAnsi="Cambria Math" w:cs="Times New Roman"/>
                      <w:i/>
                      <w:szCs w:val="24"/>
                      <w:lang w:val="en-GB"/>
                    </w:rPr>
                  </m:ctrlPr>
                </m:dPr>
                <m:e>
                  <m:f>
                    <m:fPr>
                      <m:ctrlPr>
                        <w:rPr>
                          <w:rFonts w:ascii="Cambria Math" w:eastAsia="Calibri" w:hAnsi="Cambria Math" w:cs="Times New Roman"/>
                          <w:i/>
                          <w:szCs w:val="24"/>
                          <w:lang w:val="en-GB"/>
                        </w:rPr>
                      </m:ctrlPr>
                    </m:fPr>
                    <m:num>
                      <m:r>
                        <w:rPr>
                          <w:rFonts w:ascii="Cambria Math" w:eastAsia="Calibri" w:hAnsi="Cambria Math" w:cs="Times New Roman"/>
                          <w:szCs w:val="24"/>
                          <w:lang w:val="en-GB"/>
                        </w:rPr>
                        <m:t>z</m:t>
                      </m:r>
                    </m:num>
                    <m:den>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z</m:t>
                          </m:r>
                        </m:e>
                        <m:sub>
                          <m:r>
                            <w:rPr>
                              <w:rFonts w:ascii="Cambria Math" w:eastAsia="Calibri" w:hAnsi="Cambria Math" w:cs="Times New Roman"/>
                              <w:szCs w:val="24"/>
                              <w:lang w:val="en-GB"/>
                            </w:rPr>
                            <m:t>r</m:t>
                          </m:r>
                        </m:sub>
                      </m:sSub>
                    </m:den>
                  </m:f>
                </m:e>
              </m:d>
            </m:e>
            <m:sup>
              <m:r>
                <w:rPr>
                  <w:rFonts w:ascii="Cambria Math" w:eastAsia="Calibri" w:hAnsi="Cambria Math" w:cs="Times New Roman"/>
                  <w:szCs w:val="24"/>
                  <w:lang w:val="en-GB"/>
                </w:rPr>
                <m:t>a</m:t>
              </m:r>
            </m:sup>
          </m:sSup>
        </m:oMath>
      </m:oMathPara>
    </w:p>
    <w:p w14:paraId="46297008" w14:textId="77777777" w:rsidR="003C36F6" w:rsidRPr="007F460F" w:rsidRDefault="003C36F6" w:rsidP="003C36F6">
      <w:pPr>
        <w:spacing w:after="0" w:line="240" w:lineRule="auto"/>
        <w:jc w:val="both"/>
        <w:rPr>
          <w:rFonts w:eastAsia="Times New Roman" w:cs="Times New Roman"/>
          <w:sz w:val="20"/>
          <w:szCs w:val="20"/>
          <w:lang w:val="en-GB"/>
        </w:rPr>
      </w:pPr>
    </w:p>
    <w:p w14:paraId="3EBBCF8D" w14:textId="77777777" w:rsidR="003C36F6" w:rsidRPr="003C36F6" w:rsidRDefault="003C36F6" w:rsidP="003C36F6">
      <w:pPr>
        <w:spacing w:after="120" w:line="312" w:lineRule="auto"/>
        <w:jc w:val="both"/>
        <w:rPr>
          <w:rFonts w:eastAsia="Calibri" w:cs="Times New Roman"/>
          <w:sz w:val="22"/>
          <w:lang w:val="en-GB"/>
        </w:rPr>
      </w:pPr>
      <w:r w:rsidRPr="003C36F6">
        <w:rPr>
          <w:rFonts w:eastAsia="Times New Roman" w:cs="Times New Roman"/>
          <w:sz w:val="22"/>
          <w:lang w:val="en-GB"/>
        </w:rPr>
        <w:t xml:space="preserve">Where, </w:t>
      </w:r>
      <w:r w:rsidRPr="003C36F6">
        <w:rPr>
          <w:rFonts w:eastAsia="Times New Roman" w:cs="Times New Roman"/>
          <w:i/>
          <w:sz w:val="22"/>
          <w:lang w:val="en-GB"/>
        </w:rPr>
        <w:t>U(z)</w:t>
      </w:r>
      <w:r w:rsidRPr="003C36F6">
        <w:rPr>
          <w:rFonts w:eastAsia="Times New Roman" w:cs="Times New Roman"/>
          <w:sz w:val="22"/>
          <w:lang w:val="en-GB"/>
        </w:rPr>
        <w:t xml:space="preserve"> is the required wind speed in m/s at required height (</w:t>
      </w:r>
      <w:r w:rsidRPr="003C36F6">
        <w:rPr>
          <w:rFonts w:eastAsia="Times New Roman" w:cs="Times New Roman"/>
          <w:i/>
          <w:sz w:val="22"/>
          <w:lang w:val="en-GB"/>
        </w:rPr>
        <w:t>z</w:t>
      </w:r>
      <w:r w:rsidRPr="003C36F6">
        <w:rPr>
          <w:rFonts w:eastAsia="Times New Roman" w:cs="Times New Roman"/>
          <w:sz w:val="22"/>
          <w:lang w:val="en-GB"/>
        </w:rPr>
        <w:t xml:space="preserve">) in meters, </w:t>
      </w:r>
      <w:r w:rsidRPr="003C36F6">
        <w:rPr>
          <w:rFonts w:eastAsia="Times New Roman" w:cs="Times New Roman"/>
          <w:i/>
          <w:sz w:val="22"/>
          <w:lang w:val="en-GB"/>
        </w:rPr>
        <w:t>U(</w:t>
      </w:r>
      <w:proofErr w:type="spellStart"/>
      <w:r w:rsidRPr="003C36F6">
        <w:rPr>
          <w:rFonts w:eastAsia="Times New Roman" w:cs="Times New Roman"/>
          <w:i/>
          <w:sz w:val="22"/>
          <w:lang w:val="en-GB"/>
        </w:rPr>
        <w:t>z</w:t>
      </w:r>
      <w:r w:rsidRPr="003C36F6">
        <w:rPr>
          <w:rFonts w:eastAsia="Times New Roman" w:cs="Times New Roman"/>
          <w:i/>
          <w:sz w:val="22"/>
          <w:vertAlign w:val="subscript"/>
          <w:lang w:val="en-GB"/>
        </w:rPr>
        <w:t>r</w:t>
      </w:r>
      <w:proofErr w:type="spellEnd"/>
      <w:r w:rsidRPr="003C36F6">
        <w:rPr>
          <w:rFonts w:eastAsia="Times New Roman" w:cs="Times New Roman"/>
          <w:i/>
          <w:sz w:val="22"/>
          <w:lang w:val="en-GB"/>
        </w:rPr>
        <w:t>)</w:t>
      </w:r>
      <w:r w:rsidRPr="003C36F6">
        <w:rPr>
          <w:rFonts w:eastAsia="Times New Roman" w:cs="Times New Roman"/>
          <w:sz w:val="22"/>
          <w:lang w:val="en-GB"/>
        </w:rPr>
        <w:t xml:space="preserve"> is the reference wind speed in m/s at reference height (</w:t>
      </w:r>
      <w:proofErr w:type="spellStart"/>
      <w:r w:rsidRPr="003C36F6">
        <w:rPr>
          <w:rFonts w:eastAsia="Times New Roman" w:cs="Times New Roman"/>
          <w:i/>
          <w:sz w:val="22"/>
          <w:lang w:val="en-GB"/>
        </w:rPr>
        <w:t>z</w:t>
      </w:r>
      <w:r w:rsidRPr="003C36F6">
        <w:rPr>
          <w:rFonts w:eastAsia="Times New Roman" w:cs="Times New Roman"/>
          <w:i/>
          <w:sz w:val="22"/>
          <w:vertAlign w:val="subscript"/>
          <w:lang w:val="en-GB"/>
        </w:rPr>
        <w:t>r</w:t>
      </w:r>
      <w:proofErr w:type="spellEnd"/>
      <w:r w:rsidRPr="003C36F6">
        <w:rPr>
          <w:rFonts w:eastAsia="Times New Roman" w:cs="Times New Roman"/>
          <w:sz w:val="22"/>
          <w:lang w:val="en-GB"/>
        </w:rPr>
        <w:t>) in meters</w:t>
      </w:r>
      <w:r w:rsidRPr="003C36F6">
        <w:rPr>
          <w:rFonts w:eastAsia="Calibri" w:cs="Times New Roman"/>
          <w:sz w:val="22"/>
          <w:lang w:val="en-GB"/>
        </w:rPr>
        <w:t xml:space="preserve">, </w:t>
      </w:r>
      <w:r w:rsidRPr="003C36F6">
        <w:rPr>
          <w:rFonts w:eastAsia="Calibri" w:cs="Times New Roman"/>
          <w:i/>
          <w:sz w:val="22"/>
          <w:lang w:val="en-GB"/>
        </w:rPr>
        <w:t>α</w:t>
      </w:r>
      <w:r w:rsidRPr="003C36F6">
        <w:rPr>
          <w:rFonts w:eastAsia="Calibri" w:cs="Times New Roman"/>
          <w:sz w:val="22"/>
          <w:lang w:val="en-GB"/>
        </w:rPr>
        <w:t xml:space="preserve"> is the dimensionless power law exponent </w:t>
      </w:r>
      <w:r w:rsidRPr="003C36F6">
        <w:rPr>
          <w:rFonts w:eastAsia="Calibri" w:cs="Times New Roman"/>
          <w:sz w:val="22"/>
          <w:lang w:val="en-GB"/>
        </w:rPr>
        <w:lastRenderedPageBreak/>
        <w:t xml:space="preserve">also known as wind shear exponent, one way of handling </w:t>
      </w:r>
      <w:r w:rsidRPr="003C36F6">
        <w:rPr>
          <w:rFonts w:eastAsia="Calibri" w:cs="Times New Roman"/>
          <w:i/>
          <w:sz w:val="22"/>
          <w:lang w:val="en-GB"/>
        </w:rPr>
        <w:t>α</w:t>
      </w:r>
      <w:r w:rsidRPr="003C36F6">
        <w:rPr>
          <w:rFonts w:eastAsia="Calibri" w:cs="Times New Roman"/>
          <w:sz w:val="22"/>
          <w:lang w:val="en-GB"/>
        </w:rPr>
        <w:t xml:space="preserve"> is from the reference values, which are already known. The following expression form is an empirical method that gives a correlation for the power law exponent as function of velocity and height.</w:t>
      </w:r>
    </w:p>
    <w:p w14:paraId="46163C99" w14:textId="77777777" w:rsidR="003C36F6" w:rsidRPr="007F460F" w:rsidRDefault="003C36F6" w:rsidP="003C36F6">
      <w:pPr>
        <w:spacing w:after="0" w:line="240" w:lineRule="auto"/>
        <w:jc w:val="both"/>
        <w:rPr>
          <w:rFonts w:eastAsia="Calibri" w:cs="Times New Roman"/>
          <w:sz w:val="20"/>
          <w:szCs w:val="20"/>
          <w:lang w:val="en-GB"/>
        </w:rPr>
      </w:pPr>
    </w:p>
    <w:p w14:paraId="5E1F9465" w14:textId="77777777" w:rsidR="003C36F6" w:rsidRPr="00357FB8" w:rsidRDefault="003C36F6" w:rsidP="003C36F6">
      <w:pPr>
        <w:spacing w:after="0" w:line="240" w:lineRule="auto"/>
        <w:jc w:val="center"/>
        <w:rPr>
          <w:rFonts w:eastAsia="Times New Roman" w:cs="Times New Roman"/>
          <w:szCs w:val="24"/>
          <w:lang w:val="en-GB"/>
        </w:rPr>
      </w:pPr>
      <m:oMathPara>
        <m:oMath>
          <m:r>
            <w:rPr>
              <w:rFonts w:ascii="Cambria Math" w:eastAsia="Calibri" w:hAnsi="Cambria Math" w:cs="Times New Roman"/>
              <w:szCs w:val="24"/>
              <w:lang w:val="en-GB"/>
            </w:rPr>
            <m:t>a=</m:t>
          </m:r>
          <m:f>
            <m:fPr>
              <m:ctrlPr>
                <w:rPr>
                  <w:rFonts w:ascii="Cambria Math" w:eastAsia="Calibri" w:hAnsi="Cambria Math" w:cs="Times New Roman"/>
                  <w:i/>
                  <w:szCs w:val="24"/>
                  <w:lang w:val="en-GB"/>
                </w:rPr>
              </m:ctrlPr>
            </m:fPr>
            <m:num>
              <m:r>
                <w:rPr>
                  <w:rFonts w:ascii="Cambria Math" w:eastAsia="Calibri" w:hAnsi="Cambria Math" w:cs="Times New Roman"/>
                  <w:szCs w:val="24"/>
                  <w:lang w:val="en-GB"/>
                </w:rPr>
                <m:t>0.37-0.088</m:t>
              </m:r>
              <m:func>
                <m:funcPr>
                  <m:ctrlPr>
                    <w:rPr>
                      <w:rFonts w:ascii="Cambria Math" w:eastAsia="Calibri" w:hAnsi="Cambria Math" w:cs="Times New Roman"/>
                      <w:szCs w:val="24"/>
                      <w:lang w:val="en-GB"/>
                    </w:rPr>
                  </m:ctrlPr>
                </m:funcPr>
                <m:fName>
                  <m:r>
                    <m:rPr>
                      <m:sty m:val="p"/>
                    </m:rPr>
                    <w:rPr>
                      <w:rFonts w:ascii="Cambria Math" w:eastAsia="Calibri" w:hAnsi="Cambria Math" w:cs="Times New Roman"/>
                      <w:szCs w:val="24"/>
                      <w:lang w:val="en-GB"/>
                    </w:rPr>
                    <m:t>ln</m:t>
                  </m:r>
                </m:fName>
                <m:e>
                  <m:d>
                    <m:dPr>
                      <m:ctrlPr>
                        <w:rPr>
                          <w:rFonts w:ascii="Cambria Math" w:eastAsia="Calibri" w:hAnsi="Cambria Math" w:cs="Times New Roman"/>
                          <w:i/>
                          <w:szCs w:val="24"/>
                          <w:lang w:val="en-GB"/>
                        </w:rPr>
                      </m:ctrlPr>
                    </m:dPr>
                    <m:e>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U</m:t>
                          </m:r>
                        </m:e>
                        <m:sub>
                          <m:r>
                            <w:rPr>
                              <w:rFonts w:ascii="Cambria Math" w:eastAsia="Calibri" w:hAnsi="Cambria Math" w:cs="Times New Roman"/>
                              <w:szCs w:val="24"/>
                              <w:lang w:val="en-GB"/>
                            </w:rPr>
                            <m:t>r</m:t>
                          </m:r>
                        </m:sub>
                      </m:sSub>
                    </m:e>
                  </m:d>
                </m:e>
              </m:func>
            </m:num>
            <m:den>
              <m:r>
                <w:rPr>
                  <w:rFonts w:ascii="Cambria Math" w:eastAsia="Calibri" w:hAnsi="Cambria Math" w:cs="Times New Roman"/>
                  <w:szCs w:val="24"/>
                  <w:lang w:val="en-GB"/>
                </w:rPr>
                <m:t>1-0.088</m:t>
              </m:r>
              <m:r>
                <m:rPr>
                  <m:sty m:val="p"/>
                </m:rPr>
                <w:rPr>
                  <w:rFonts w:ascii="Cambria Math" w:eastAsia="Calibri" w:hAnsi="Cambria Math" w:cs="Times New Roman"/>
                  <w:szCs w:val="24"/>
                  <w:lang w:val="en-GB"/>
                </w:rPr>
                <m:t>ln⁡</m:t>
              </m:r>
              <m:r>
                <w:rPr>
                  <w:rFonts w:ascii="Cambria Math" w:eastAsia="Calibri" w:hAnsi="Cambria Math" w:cs="Times New Roman"/>
                  <w:szCs w:val="24"/>
                  <w:lang w:val="en-GB"/>
                </w:rPr>
                <m:t>(</m:t>
              </m:r>
              <m:f>
                <m:fPr>
                  <m:ctrlPr>
                    <w:rPr>
                      <w:rFonts w:ascii="Cambria Math" w:eastAsia="Calibri" w:hAnsi="Cambria Math" w:cs="Times New Roman"/>
                      <w:i/>
                      <w:szCs w:val="24"/>
                      <w:lang w:val="en-GB"/>
                    </w:rPr>
                  </m:ctrlPr>
                </m:fPr>
                <m:num>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z</m:t>
                      </m:r>
                    </m:e>
                    <m:sub>
                      <m:r>
                        <w:rPr>
                          <w:rFonts w:ascii="Cambria Math" w:eastAsia="Calibri" w:hAnsi="Cambria Math" w:cs="Times New Roman"/>
                          <w:szCs w:val="24"/>
                          <w:lang w:val="en-GB"/>
                        </w:rPr>
                        <m:t>r</m:t>
                      </m:r>
                    </m:sub>
                  </m:sSub>
                </m:num>
                <m:den>
                  <m:r>
                    <w:rPr>
                      <w:rFonts w:ascii="Cambria Math" w:eastAsia="Calibri" w:hAnsi="Cambria Math" w:cs="Times New Roman"/>
                      <w:szCs w:val="24"/>
                      <w:lang w:val="en-GB"/>
                    </w:rPr>
                    <m:t>10</m:t>
                  </m:r>
                </m:den>
              </m:f>
              <m:r>
                <w:rPr>
                  <w:rFonts w:ascii="Cambria Math" w:eastAsia="Calibri" w:hAnsi="Cambria Math" w:cs="Times New Roman"/>
                  <w:szCs w:val="24"/>
                  <w:lang w:val="en-GB"/>
                </w:rPr>
                <m:t>)</m:t>
              </m:r>
            </m:den>
          </m:f>
        </m:oMath>
      </m:oMathPara>
    </w:p>
    <w:p w14:paraId="7C8CC639" w14:textId="77777777" w:rsidR="003C36F6" w:rsidRPr="007F460F" w:rsidRDefault="003C36F6" w:rsidP="003C36F6">
      <w:pPr>
        <w:spacing w:after="0" w:line="240" w:lineRule="auto"/>
        <w:jc w:val="both"/>
        <w:rPr>
          <w:rFonts w:eastAsia="Times New Roman" w:cs="Times New Roman"/>
          <w:sz w:val="20"/>
          <w:szCs w:val="20"/>
          <w:lang w:val="en-GB"/>
        </w:rPr>
      </w:pPr>
    </w:p>
    <w:p w14:paraId="3F9D6940" w14:textId="77777777" w:rsidR="003C36F6" w:rsidRPr="003C36F6" w:rsidRDefault="003C36F6" w:rsidP="003C36F6">
      <w:pPr>
        <w:spacing w:after="0" w:line="240" w:lineRule="auto"/>
        <w:jc w:val="both"/>
        <w:rPr>
          <w:rFonts w:eastAsia="Times New Roman" w:cs="Times New Roman"/>
          <w:sz w:val="22"/>
          <w:lang w:val="en-GB"/>
        </w:rPr>
      </w:pPr>
      <w:r w:rsidRPr="003C36F6">
        <w:rPr>
          <w:rFonts w:eastAsia="Times New Roman" w:cs="Times New Roman"/>
          <w:sz w:val="22"/>
          <w:lang w:val="en-GB"/>
        </w:rPr>
        <w:t xml:space="preserve">where, </w:t>
      </w:r>
      <w:proofErr w:type="gramStart"/>
      <w:r w:rsidRPr="003C36F6">
        <w:rPr>
          <w:rFonts w:eastAsia="Times New Roman" w:cs="Times New Roman"/>
          <w:i/>
          <w:sz w:val="22"/>
          <w:lang w:val="en-GB"/>
        </w:rPr>
        <w:t>U</w:t>
      </w:r>
      <w:r w:rsidRPr="003C36F6">
        <w:rPr>
          <w:rFonts w:eastAsia="Times New Roman" w:cs="Times New Roman"/>
          <w:i/>
          <w:sz w:val="22"/>
          <w:vertAlign w:val="subscript"/>
          <w:lang w:val="en-GB"/>
        </w:rPr>
        <w:t>r</w:t>
      </w:r>
      <w:r w:rsidRPr="003C36F6">
        <w:rPr>
          <w:rFonts w:eastAsia="Times New Roman" w:cs="Times New Roman"/>
          <w:sz w:val="22"/>
          <w:vertAlign w:val="subscript"/>
          <w:lang w:val="en-GB"/>
        </w:rPr>
        <w:t xml:space="preserve">  </w:t>
      </w:r>
      <w:r w:rsidRPr="003C36F6">
        <w:rPr>
          <w:rFonts w:eastAsia="Times New Roman" w:cs="Times New Roman"/>
          <w:sz w:val="22"/>
          <w:lang w:val="en-GB"/>
        </w:rPr>
        <w:t>reference</w:t>
      </w:r>
      <w:proofErr w:type="gramEnd"/>
      <w:r w:rsidRPr="003C36F6">
        <w:rPr>
          <w:rFonts w:eastAsia="Times New Roman" w:cs="Times New Roman"/>
          <w:sz w:val="22"/>
          <w:lang w:val="en-GB"/>
        </w:rPr>
        <w:t xml:space="preserve"> wind speed given in m/s and </w:t>
      </w:r>
      <w:proofErr w:type="spellStart"/>
      <w:r w:rsidRPr="003C36F6">
        <w:rPr>
          <w:rFonts w:eastAsia="Times New Roman" w:cs="Times New Roman"/>
          <w:i/>
          <w:sz w:val="22"/>
          <w:lang w:val="en-GB"/>
        </w:rPr>
        <w:t>Z</w:t>
      </w:r>
      <w:r w:rsidRPr="003C36F6">
        <w:rPr>
          <w:rFonts w:eastAsia="Times New Roman" w:cs="Times New Roman"/>
          <w:i/>
          <w:sz w:val="22"/>
          <w:vertAlign w:val="subscript"/>
          <w:lang w:val="en-GB"/>
        </w:rPr>
        <w:t>r</w:t>
      </w:r>
      <w:proofErr w:type="spellEnd"/>
      <w:r w:rsidRPr="003C36F6">
        <w:rPr>
          <w:rFonts w:eastAsia="Times New Roman" w:cs="Times New Roman"/>
          <w:i/>
          <w:sz w:val="22"/>
          <w:vertAlign w:val="subscript"/>
          <w:lang w:val="en-GB"/>
        </w:rPr>
        <w:t xml:space="preserve"> </w:t>
      </w:r>
      <w:r w:rsidRPr="003C36F6">
        <w:rPr>
          <w:rFonts w:eastAsia="Times New Roman" w:cs="Times New Roman"/>
          <w:sz w:val="22"/>
          <w:lang w:val="en-GB"/>
        </w:rPr>
        <w:t>reference height in meters.</w:t>
      </w:r>
    </w:p>
    <w:p w14:paraId="14DB8F80" w14:textId="77777777" w:rsidR="003C36F6" w:rsidRPr="007F460F" w:rsidRDefault="003C36F6" w:rsidP="003C36F6">
      <w:pPr>
        <w:spacing w:after="0" w:line="240" w:lineRule="auto"/>
        <w:jc w:val="both"/>
        <w:rPr>
          <w:rFonts w:eastAsia="Calibri" w:cs="Times New Roman"/>
          <w:lang w:val="en-GB"/>
        </w:rPr>
      </w:pPr>
    </w:p>
    <w:p w14:paraId="461CCD68" w14:textId="77777777" w:rsidR="003C36F6" w:rsidRPr="003C36F6" w:rsidRDefault="003C36F6" w:rsidP="003C36F6">
      <w:pPr>
        <w:pStyle w:val="Heading3"/>
        <w:numPr>
          <w:ilvl w:val="2"/>
          <w:numId w:val="3"/>
        </w:numPr>
        <w:rPr>
          <w:rFonts w:ascii="Times New Roman" w:eastAsia="Times New Roman" w:hAnsi="Times New Roman" w:cs="Times New Roman"/>
          <w:color w:val="auto"/>
          <w:sz w:val="22"/>
        </w:rPr>
      </w:pPr>
      <w:bookmarkStart w:id="1" w:name="_Toc361389572"/>
      <w:bookmarkStart w:id="2" w:name="_Ref388869039"/>
      <w:bookmarkStart w:id="3" w:name="_Ref389047872"/>
      <w:r w:rsidRPr="003C36F6">
        <w:rPr>
          <w:rFonts w:ascii="Times New Roman" w:eastAsia="Times New Roman" w:hAnsi="Times New Roman" w:cs="Times New Roman"/>
          <w:color w:val="auto"/>
          <w:sz w:val="22"/>
        </w:rPr>
        <w:t>Rayleigh probability distribution</w:t>
      </w:r>
      <w:bookmarkEnd w:id="1"/>
      <w:bookmarkEnd w:id="2"/>
      <w:bookmarkEnd w:id="3"/>
    </w:p>
    <w:p w14:paraId="5A00F98E" w14:textId="77777777" w:rsidR="003C36F6" w:rsidRPr="007F460F" w:rsidRDefault="003C36F6" w:rsidP="003C36F6">
      <w:pPr>
        <w:spacing w:after="0" w:line="240" w:lineRule="auto"/>
        <w:jc w:val="both"/>
        <w:rPr>
          <w:lang w:val="en-GB"/>
        </w:rPr>
      </w:pPr>
    </w:p>
    <w:p w14:paraId="72729034" w14:textId="77777777" w:rsidR="003C36F6" w:rsidRPr="003C36F6" w:rsidRDefault="003C36F6" w:rsidP="003C36F6">
      <w:pPr>
        <w:spacing w:after="0" w:line="312" w:lineRule="auto"/>
        <w:jc w:val="both"/>
        <w:rPr>
          <w:rFonts w:eastAsiaTheme="minorEastAsia" w:cs="Times New Roman"/>
          <w:sz w:val="22"/>
          <w:lang w:val="en-GB"/>
        </w:rPr>
      </w:pPr>
      <w:r w:rsidRPr="003C36F6">
        <w:rPr>
          <w:rFonts w:cs="Times New Roman"/>
          <w:sz w:val="22"/>
          <w:lang w:val="en-GB"/>
        </w:rPr>
        <w:t xml:space="preserve">In this study, wind power capacity factor was estimated with the help of Rayleigh probability distribution due to limited availability of long term daily wind speed data. Rayleigh probability distribution is modified form of Weibull probability distribution having assumed value of shape factor k=2. A similar type of study was conducted by the authors of this paper for the African continent </w:t>
      </w:r>
      <w:r w:rsidRPr="003C36F6">
        <w:rPr>
          <w:rFonts w:cs="Times New Roman"/>
          <w:sz w:val="22"/>
          <w:lang w:val="en-GB"/>
        </w:rPr>
        <w:fldChar w:fldCharType="begin"/>
      </w:r>
      <w:r w:rsidRPr="003C36F6">
        <w:rPr>
          <w:rFonts w:cs="Times New Roman"/>
          <w:sz w:val="22"/>
          <w:lang w:val="en-GB"/>
        </w:rPr>
        <w:instrText xml:space="preserve"> ADDIN ZOTERO_ITEM CSL_CITATION {"citationID":"2tbm4q0dh","properties":{"formattedCitation":"[37]","plainCitation":"[37]"},"citationItems":[{"id":18,"uris":["http://zotero.org/users/local/e8NniAXZ/items/IHRWC92R"],"uri":["http://zotero.org/users/local/e8NniAXZ/items/IHRWC92R"],"itemData":{"id":18,"type":"article-journal","title":"Assessing the technical wind energy potential in Africa a GIS-based approach","container-title":"Renewable Energy","page":"110-125","volume":"83","source":"ScienceDirect","abstract":"Nowadays, Africa faces the challenge of generating more electricity to meet existing and future demand in a sustainable way. Africa is a privileged continent in terms of wind resource regime. However, very little of this has been utilized. It is thus essential to identify and define the amount of wind energy that could be technically exploited on the continent. The utilization of wind energy is associated with a myriad of localization criteria and thus it should be systematically addressed by spatial assessments to guarantee its harmonization with socio-economic systems, infrastructure and ecosystems. This study focuses on onshore wind power on the African continent and strives to provide estimates of theoretical, geographical and technical potential based on state of the art wind power technology. Maps of wind power potential at 80 m, which is the hub height of a modern wind turbine will be derived via statistical distribution of wind speed data and implementation of wind power curves. Screening criteria regarding the localization of wind farms and related to socio-economic and geographic constraints are outlined and implemented through a thorough GIS analysis. The results of this work are presented and compared with similar approaches and significant conclusions are drawn. Based on the analysis there are some countries that signify high yearly wind energy yield, such as South Africa, Sudan, Algeria, Egypt, Libya, Nigeria, Mauritania, Tunisia and Morocco, whilst Equatorial Guinea, Gabon, Central African Republic, Burundi, Liberia, Benin and Togo indicate the least wind power potential.","DOI":"10.1016/j.renene.2015.03.072","ISSN":"0960-1481","journalAbbreviation":"Renewable Energy","author":[{"family":"Mentis","given":"Dimitrios"},{"family":"Hermann","given":"Sebastian"},{"family":"Howells","given":"Mark"},{"family":"Welsch","given":"Manuel"},{"family":"Siyal","given":"Shahid Hussain"}],"issued":{"date-parts":[["2015",11]]},"accessed":{"date-parts":[["2015",7,3]]}}}],"schema":"https://github.com/citation-style-language/schema/raw/master/csl-citation.json"} </w:instrText>
      </w:r>
      <w:r w:rsidRPr="003C36F6">
        <w:rPr>
          <w:rFonts w:cs="Times New Roman"/>
          <w:sz w:val="22"/>
          <w:lang w:val="en-GB"/>
        </w:rPr>
        <w:fldChar w:fldCharType="separate"/>
      </w:r>
      <w:r w:rsidRPr="003C36F6">
        <w:rPr>
          <w:rFonts w:cs="Times New Roman"/>
          <w:sz w:val="22"/>
          <w:lang w:val="en-US"/>
        </w:rPr>
        <w:t>[37]</w:t>
      </w:r>
      <w:r w:rsidRPr="003C36F6">
        <w:rPr>
          <w:rFonts w:cs="Times New Roman"/>
          <w:sz w:val="22"/>
          <w:lang w:val="en-GB"/>
        </w:rPr>
        <w:fldChar w:fldCharType="end"/>
      </w:r>
      <w:r w:rsidRPr="003C36F6">
        <w:rPr>
          <w:rFonts w:cs="Times New Roman"/>
          <w:sz w:val="22"/>
          <w:lang w:val="en-GB"/>
        </w:rPr>
        <w:t xml:space="preserve">, where it was concluded that the difference in the energy yield between Rayleigh and Weibull distribution along the whole continent is slightly more than 5%. </w:t>
      </w:r>
      <w:proofErr w:type="gramStart"/>
      <w:r w:rsidRPr="003C36F6">
        <w:rPr>
          <w:rFonts w:cs="Times New Roman"/>
          <w:sz w:val="22"/>
          <w:lang w:val="en-GB"/>
        </w:rPr>
        <w:t>However</w:t>
      </w:r>
      <w:proofErr w:type="gramEnd"/>
      <w:r w:rsidRPr="003C36F6">
        <w:rPr>
          <w:rFonts w:cs="Times New Roman"/>
          <w:sz w:val="22"/>
          <w:lang w:val="en-GB"/>
        </w:rPr>
        <w:t xml:space="preserve"> the variation at certain sites may be significant and thus the Rayleigh distribution wouldn’t provide accurate estimations when it comes to particular locations. </w:t>
      </w:r>
      <w:r w:rsidRPr="003C36F6">
        <w:rPr>
          <w:rFonts w:eastAsiaTheme="minorEastAsia" w:cs="Times New Roman"/>
          <w:sz w:val="22"/>
          <w:lang w:val="en-GB"/>
        </w:rPr>
        <w:t>Rayleigh probability distribution of wind speed was estimated by the following equation:</w:t>
      </w:r>
    </w:p>
    <w:p w14:paraId="30131001" w14:textId="77777777" w:rsidR="003C36F6" w:rsidRPr="003C36F6" w:rsidRDefault="003C36F6" w:rsidP="003C36F6">
      <w:pPr>
        <w:spacing w:after="0" w:line="240" w:lineRule="auto"/>
        <w:jc w:val="both"/>
        <w:rPr>
          <w:rFonts w:eastAsiaTheme="minorEastAsia" w:cs="Times New Roman"/>
          <w:sz w:val="20"/>
          <w:szCs w:val="20"/>
          <w:lang w:val="en-GB"/>
        </w:rPr>
      </w:pPr>
    </w:p>
    <w:p w14:paraId="6659CC9B" w14:textId="77777777" w:rsidR="003C36F6" w:rsidRPr="003C36F6" w:rsidRDefault="003C36F6" w:rsidP="003C36F6">
      <w:pPr>
        <w:autoSpaceDE w:val="0"/>
        <w:autoSpaceDN w:val="0"/>
        <w:adjustRightInd w:val="0"/>
        <w:rPr>
          <w:rFonts w:eastAsiaTheme="minorEastAsia" w:cs="Times New Roman"/>
          <w:szCs w:val="24"/>
        </w:rPr>
      </w:pPr>
      <m:oMathPara>
        <m:oMathParaPr>
          <m:jc m:val="center"/>
        </m:oMathParaP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U</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π</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U</m:t>
                  </m:r>
                </m:num>
                <m:den>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U</m:t>
                      </m:r>
                    </m:e>
                    <m:sub>
                      <m:r>
                        <w:rPr>
                          <w:rFonts w:ascii="Cambria Math" w:eastAsiaTheme="minorEastAsia" w:hAnsi="Cambria Math" w:cs="Times New Roman"/>
                          <w:szCs w:val="24"/>
                        </w:rPr>
                        <m:t>mean</m:t>
                      </m:r>
                    </m:sub>
                    <m:sup>
                      <m:r>
                        <w:rPr>
                          <w:rFonts w:ascii="Cambria Math" w:eastAsiaTheme="minorEastAsia" w:hAnsi="Cambria Math" w:cs="Times New Roman"/>
                          <w:szCs w:val="24"/>
                        </w:rPr>
                        <m:t>2</m:t>
                      </m:r>
                    </m:sup>
                  </m:sSubSup>
                </m:den>
              </m:f>
            </m:e>
          </m:d>
          <m:r>
            <w:rPr>
              <w:rFonts w:ascii="Cambria Math" w:eastAsiaTheme="minorEastAsia" w:hAnsi="Cambria Math" w:cs="Times New Roman"/>
              <w:szCs w:val="24"/>
            </w:rPr>
            <m:t>∙</m:t>
          </m:r>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π</m:t>
              </m:r>
            </m:num>
            <m:den>
              <m:r>
                <w:rPr>
                  <w:rFonts w:ascii="Cambria Math" w:eastAsiaTheme="minorEastAsia" w:hAnsi="Cambria Math" w:cs="Times New Roman"/>
                  <w:szCs w:val="24"/>
                </w:rPr>
                <m:t>4</m:t>
              </m:r>
            </m:den>
          </m:f>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U</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U</m:t>
                          </m:r>
                        </m:e>
                        <m:sub>
                          <m:r>
                            <w:rPr>
                              <w:rFonts w:ascii="Cambria Math" w:eastAsiaTheme="minorEastAsia" w:hAnsi="Cambria Math" w:cs="Times New Roman"/>
                              <w:szCs w:val="24"/>
                            </w:rPr>
                            <m:t>mean</m:t>
                          </m:r>
                        </m:sub>
                      </m:sSub>
                    </m:den>
                  </m:f>
                </m:e>
              </m:d>
            </m:e>
            <m:sup>
              <m:r>
                <w:rPr>
                  <w:rFonts w:ascii="Cambria Math" w:eastAsiaTheme="minorEastAsia" w:hAnsi="Cambria Math" w:cs="Times New Roman"/>
                  <w:szCs w:val="24"/>
                </w:rPr>
                <m:t>k</m:t>
              </m:r>
            </m:sup>
          </m:sSup>
          <m:r>
            <w:rPr>
              <w:rFonts w:ascii="Cambria Math" w:eastAsiaTheme="minorEastAsia" w:hAnsi="Cambria Math" w:cs="Times New Roman"/>
              <w:szCs w:val="24"/>
            </w:rPr>
            <m:t>)</m:t>
          </m:r>
        </m:oMath>
      </m:oMathPara>
    </w:p>
    <w:p w14:paraId="1E0B32C6" w14:textId="77777777" w:rsidR="003C36F6" w:rsidRPr="003C36F6" w:rsidRDefault="003C36F6" w:rsidP="003C36F6">
      <w:pPr>
        <w:spacing w:after="0" w:line="240" w:lineRule="auto"/>
        <w:jc w:val="both"/>
        <w:rPr>
          <w:rFonts w:cs="Times New Roman"/>
          <w:sz w:val="20"/>
          <w:szCs w:val="20"/>
        </w:rPr>
      </w:pPr>
    </w:p>
    <w:p w14:paraId="2EA78EF4" w14:textId="77777777" w:rsidR="003C36F6" w:rsidRPr="003C36F6" w:rsidRDefault="003C36F6" w:rsidP="003C36F6">
      <w:pPr>
        <w:spacing w:after="120" w:line="312" w:lineRule="auto"/>
        <w:jc w:val="both"/>
        <w:rPr>
          <w:rFonts w:cs="Times New Roman"/>
          <w:sz w:val="22"/>
          <w:lang w:val="en-GB"/>
        </w:rPr>
      </w:pPr>
      <w:r w:rsidRPr="003C36F6">
        <w:rPr>
          <w:rFonts w:cs="Times New Roman"/>
          <w:sz w:val="22"/>
          <w:lang w:val="en-GB"/>
        </w:rPr>
        <w:t xml:space="preserve">where, </w:t>
      </w:r>
      <w:r w:rsidRPr="003C36F6">
        <w:rPr>
          <w:rFonts w:cs="Times New Roman"/>
          <w:i/>
          <w:sz w:val="22"/>
          <w:lang w:val="en-GB"/>
        </w:rPr>
        <w:t>f(U)</w:t>
      </w:r>
      <w:r w:rsidRPr="003C36F6">
        <w:rPr>
          <w:rFonts w:cs="Times New Roman"/>
          <w:sz w:val="22"/>
          <w:lang w:val="en-GB"/>
        </w:rPr>
        <w:t xml:space="preserve"> is the Rayleigh probability distribution of a wind class, </w:t>
      </w:r>
      <w:r w:rsidRPr="003C36F6">
        <w:rPr>
          <w:rFonts w:cs="Times New Roman"/>
          <w:i/>
          <w:sz w:val="22"/>
          <w:lang w:val="en-GB"/>
        </w:rPr>
        <w:t>U</w:t>
      </w:r>
      <w:r w:rsidRPr="003C36F6">
        <w:rPr>
          <w:rFonts w:cs="Times New Roman"/>
          <w:sz w:val="22"/>
          <w:lang w:val="en-GB"/>
        </w:rPr>
        <w:t xml:space="preserve"> is wind speed reading (1 to 25 m/s) and </w:t>
      </w:r>
      <w:proofErr w:type="spellStart"/>
      <w:r w:rsidRPr="003C36F6">
        <w:rPr>
          <w:rFonts w:cs="Times New Roman"/>
          <w:i/>
          <w:sz w:val="22"/>
          <w:lang w:val="en-GB"/>
        </w:rPr>
        <w:t>U</w:t>
      </w:r>
      <w:r w:rsidRPr="003C36F6">
        <w:rPr>
          <w:rFonts w:cs="Times New Roman"/>
          <w:i/>
          <w:sz w:val="22"/>
          <w:vertAlign w:val="subscript"/>
          <w:lang w:val="en-GB"/>
        </w:rPr>
        <w:t>mean</w:t>
      </w:r>
      <w:proofErr w:type="spellEnd"/>
      <w:r w:rsidRPr="003C36F6">
        <w:rPr>
          <w:rFonts w:cs="Times New Roman"/>
          <w:i/>
          <w:sz w:val="22"/>
          <w:vertAlign w:val="subscript"/>
          <w:lang w:val="en-GB"/>
        </w:rPr>
        <w:t xml:space="preserve"> </w:t>
      </w:r>
      <w:r w:rsidRPr="003C36F6">
        <w:rPr>
          <w:rFonts w:cs="Times New Roman"/>
          <w:sz w:val="22"/>
          <w:lang w:val="en-GB"/>
        </w:rPr>
        <w:t>is average wind speed in m/s and k is a unit less shape factor, which is assumed to be equal to 2 for Rayleigh probability distribution.</w:t>
      </w:r>
    </w:p>
    <w:p w14:paraId="6D23E2E1" w14:textId="77777777" w:rsidR="003C36F6" w:rsidRPr="003C36F6" w:rsidRDefault="003C36F6" w:rsidP="003C36F6">
      <w:pPr>
        <w:pStyle w:val="Heading3"/>
        <w:numPr>
          <w:ilvl w:val="2"/>
          <w:numId w:val="3"/>
        </w:numPr>
        <w:rPr>
          <w:rFonts w:ascii="Times New Roman" w:eastAsia="Times New Roman" w:hAnsi="Times New Roman" w:cs="Times New Roman"/>
          <w:color w:val="auto"/>
          <w:sz w:val="22"/>
        </w:rPr>
      </w:pPr>
      <w:r w:rsidRPr="003C36F6">
        <w:rPr>
          <w:rFonts w:ascii="Times New Roman" w:eastAsia="Times New Roman" w:hAnsi="Times New Roman" w:cs="Times New Roman"/>
          <w:color w:val="auto"/>
          <w:sz w:val="22"/>
        </w:rPr>
        <w:t>Wind power calculation</w:t>
      </w:r>
    </w:p>
    <w:p w14:paraId="14C3D371" w14:textId="77777777" w:rsidR="003C36F6" w:rsidRPr="007F460F" w:rsidRDefault="003C36F6" w:rsidP="003C36F6">
      <w:pPr>
        <w:spacing w:after="0" w:line="240" w:lineRule="auto"/>
        <w:jc w:val="both"/>
        <w:rPr>
          <w:rFonts w:eastAsia="Calibri" w:cs="Times New Roman"/>
          <w:lang w:val="en-GB"/>
        </w:rPr>
      </w:pPr>
    </w:p>
    <w:p w14:paraId="379359B6" w14:textId="0F216AE0" w:rsidR="003C36F6" w:rsidRPr="003C36F6" w:rsidRDefault="003C36F6" w:rsidP="003C36F6">
      <w:pPr>
        <w:spacing w:after="120" w:line="312" w:lineRule="auto"/>
        <w:jc w:val="both"/>
        <w:rPr>
          <w:rFonts w:eastAsia="Calibri" w:cs="Times New Roman"/>
          <w:sz w:val="22"/>
          <w:lang w:val="en-GB"/>
        </w:rPr>
      </w:pPr>
      <w:r w:rsidRPr="003C36F6">
        <w:rPr>
          <w:rFonts w:eastAsia="Calibri" w:cs="Times New Roman"/>
          <w:sz w:val="22"/>
          <w:lang w:val="en-GB"/>
        </w:rPr>
        <w:t>The power produced by a wind turbine was estimated by combining the Rayleigh wind speed distribution and the manufacturer’s power curve of the selected V-44 wind turbine. The power curve of a wind turbine provides information related to the power output of the wind turbine on the basis of wind speed rea</w:t>
      </w:r>
      <w:r w:rsidR="00A20D28">
        <w:rPr>
          <w:rFonts w:eastAsia="Calibri" w:cs="Times New Roman"/>
          <w:sz w:val="22"/>
          <w:lang w:val="en-GB"/>
        </w:rPr>
        <w:t>ding. In Figure 1</w:t>
      </w:r>
      <w:r w:rsidRPr="003C36F6">
        <w:rPr>
          <w:rFonts w:eastAsia="Calibri" w:cs="Times New Roman"/>
          <w:sz w:val="22"/>
          <w:lang w:val="en-GB"/>
        </w:rPr>
        <w:t>, the power curve of a V-44 wind turbine is given.</w:t>
      </w:r>
    </w:p>
    <w:p w14:paraId="2AE575C8" w14:textId="77777777" w:rsidR="003C36F6" w:rsidRPr="003C36F6" w:rsidRDefault="003C36F6" w:rsidP="003C36F6">
      <w:pPr>
        <w:spacing w:after="120" w:line="312" w:lineRule="auto"/>
        <w:jc w:val="both"/>
        <w:rPr>
          <w:rFonts w:eastAsia="Calibri" w:cs="Times New Roman"/>
          <w:sz w:val="22"/>
          <w:lang w:val="en-GB"/>
        </w:rPr>
      </w:pPr>
    </w:p>
    <w:p w14:paraId="3FE44B41" w14:textId="77777777" w:rsidR="003C36F6" w:rsidRDefault="003C36F6" w:rsidP="003C36F6">
      <w:pPr>
        <w:keepNext/>
        <w:spacing w:after="0" w:line="240" w:lineRule="auto"/>
        <w:jc w:val="center"/>
      </w:pPr>
      <w:r>
        <w:rPr>
          <w:noProof/>
          <w:lang w:val="en-US"/>
        </w:rPr>
        <w:lastRenderedPageBreak/>
        <w:drawing>
          <wp:inline distT="0" distB="0" distL="0" distR="0" wp14:anchorId="0AF0D007" wp14:editId="5369483A">
            <wp:extent cx="5756910" cy="2544445"/>
            <wp:effectExtent l="19050" t="19050" r="15240" b="273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6910" cy="2544445"/>
                    </a:xfrm>
                    <a:prstGeom prst="rect">
                      <a:avLst/>
                    </a:prstGeom>
                    <a:noFill/>
                    <a:ln w="9525">
                      <a:solidFill>
                        <a:sysClr val="windowText" lastClr="000000">
                          <a:lumMod val="65000"/>
                          <a:lumOff val="35000"/>
                        </a:sysClr>
                      </a:solidFill>
                      <a:miter lim="800000"/>
                      <a:headEnd/>
                      <a:tailEnd/>
                    </a:ln>
                  </pic:spPr>
                </pic:pic>
              </a:graphicData>
            </a:graphic>
          </wp:inline>
        </w:drawing>
      </w:r>
    </w:p>
    <w:p w14:paraId="3427CF09" w14:textId="7B2AEF85" w:rsidR="003C36F6" w:rsidRPr="007F460F" w:rsidRDefault="003C36F6" w:rsidP="003C36F6">
      <w:pPr>
        <w:pStyle w:val="Caption"/>
        <w:spacing w:after="0"/>
        <w:jc w:val="center"/>
        <w:rPr>
          <w:rFonts w:eastAsia="Calibri" w:cs="Times New Roman"/>
          <w:noProof/>
          <w:szCs w:val="24"/>
          <w:lang w:val="en-US" w:eastAsia="sv-SE"/>
        </w:rPr>
      </w:pPr>
      <w:r w:rsidRPr="003134E3">
        <w:rPr>
          <w:lang w:val="en-US"/>
        </w:rPr>
        <w:t xml:space="preserve">Figure </w:t>
      </w:r>
      <w:r w:rsidR="00A20D28" w:rsidRPr="00AC4AB5">
        <w:rPr>
          <w:lang w:val="en-US"/>
        </w:rPr>
        <w:t>1</w:t>
      </w:r>
      <w:r w:rsidRPr="003134E3">
        <w:rPr>
          <w:lang w:val="en-US"/>
        </w:rPr>
        <w:t>: Power curve of V-44 wind turbine</w:t>
      </w:r>
    </w:p>
    <w:p w14:paraId="763E5E9D" w14:textId="77777777" w:rsidR="003C36F6" w:rsidRDefault="003C36F6" w:rsidP="003C36F6">
      <w:pPr>
        <w:spacing w:after="0" w:line="240" w:lineRule="auto"/>
        <w:jc w:val="both"/>
        <w:rPr>
          <w:rFonts w:eastAsia="Calibri" w:cs="Times New Roman"/>
          <w:szCs w:val="24"/>
          <w:lang w:val="en-GB"/>
        </w:rPr>
      </w:pPr>
    </w:p>
    <w:p w14:paraId="51C09EC7" w14:textId="77777777" w:rsidR="003C36F6" w:rsidRPr="003C36F6" w:rsidRDefault="003C36F6" w:rsidP="003C36F6">
      <w:pPr>
        <w:spacing w:after="120" w:line="312" w:lineRule="auto"/>
        <w:jc w:val="both"/>
        <w:rPr>
          <w:rFonts w:eastAsia="Calibri" w:cs="Times New Roman"/>
          <w:sz w:val="22"/>
          <w:lang w:val="en-GB"/>
        </w:rPr>
      </w:pPr>
      <w:r w:rsidRPr="003C36F6">
        <w:rPr>
          <w:rFonts w:eastAsia="Calibri" w:cs="Times New Roman"/>
          <w:sz w:val="22"/>
          <w:lang w:val="en-GB"/>
        </w:rPr>
        <w:t xml:space="preserve">The above power curve together with the wind speed probability distribution was used at each grid cell in order to estimate the wind power production throughout land area. The power production by the wind turbine at a particular point on annual basis is given by the subsequent formula: </w:t>
      </w:r>
    </w:p>
    <w:p w14:paraId="659807F1" w14:textId="77777777" w:rsidR="003C36F6" w:rsidRPr="007F460F" w:rsidRDefault="003C36F6" w:rsidP="003C36F6">
      <w:pPr>
        <w:spacing w:after="0" w:line="240" w:lineRule="auto"/>
        <w:jc w:val="both"/>
        <w:rPr>
          <w:rFonts w:eastAsia="Calibri" w:cs="Times New Roman"/>
          <w:sz w:val="20"/>
          <w:szCs w:val="20"/>
          <w:lang w:val="en-GB"/>
        </w:rPr>
      </w:pPr>
    </w:p>
    <w:p w14:paraId="1475859D" w14:textId="77777777" w:rsidR="003C36F6" w:rsidRPr="00357FB8" w:rsidRDefault="00AC4AB5" w:rsidP="003C36F6">
      <w:pPr>
        <w:spacing w:after="0" w:line="240" w:lineRule="auto"/>
        <w:jc w:val="both"/>
        <w:rPr>
          <w:rFonts w:eastAsia="Calibri" w:cs="Times New Roman"/>
          <w:szCs w:val="24"/>
          <w:lang w:val="en-GB"/>
        </w:rPr>
      </w:pPr>
      <m:oMathPara>
        <m:oMathParaPr>
          <m:jc m:val="center"/>
        </m:oMathParaPr>
        <m:oMath>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P</m:t>
              </m:r>
            </m:e>
            <m:sub>
              <m:r>
                <w:rPr>
                  <w:rFonts w:ascii="Cambria Math" w:eastAsia="Calibri" w:hAnsi="Cambria Math" w:cs="Times New Roman"/>
                  <w:szCs w:val="24"/>
                  <w:lang w:val="en-GB"/>
                </w:rPr>
                <m:t>expected</m:t>
              </m:r>
            </m:sub>
          </m:sSub>
          <m:r>
            <w:rPr>
              <w:rFonts w:ascii="Cambria Math" w:eastAsia="Calibri" w:hAnsi="Cambria Math" w:cs="Times New Roman"/>
              <w:szCs w:val="24"/>
              <w:lang w:val="en-GB"/>
            </w:rPr>
            <m:t>=</m:t>
          </m:r>
          <m:nary>
            <m:naryPr>
              <m:limLoc m:val="subSup"/>
              <m:ctrlPr>
                <w:rPr>
                  <w:rFonts w:ascii="Cambria Math" w:eastAsia="Calibri" w:hAnsi="Cambria Math" w:cs="Times New Roman"/>
                  <w:i/>
                  <w:szCs w:val="24"/>
                  <w:lang w:val="en-GB"/>
                </w:rPr>
              </m:ctrlPr>
            </m:naryPr>
            <m:sub>
              <m:r>
                <w:rPr>
                  <w:rFonts w:ascii="Cambria Math" w:eastAsia="Calibri" w:hAnsi="Cambria Math" w:cs="Times New Roman"/>
                  <w:szCs w:val="24"/>
                  <w:lang w:val="en-GB"/>
                </w:rPr>
                <m:t>U=0</m:t>
              </m:r>
            </m:sub>
            <m:sup>
              <m:r>
                <w:rPr>
                  <w:rFonts w:ascii="Cambria Math" w:eastAsia="Calibri" w:hAnsi="Cambria Math" w:cs="Times New Roman"/>
                  <w:szCs w:val="24"/>
                  <w:lang w:val="en-GB"/>
                </w:rPr>
                <m:t>U=cu</m:t>
              </m:r>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t</m:t>
                  </m:r>
                </m:e>
                <m:sub>
                  <m:r>
                    <w:rPr>
                      <w:rFonts w:ascii="Cambria Math" w:eastAsia="Calibri" w:hAnsi="Cambria Math" w:cs="Times New Roman"/>
                      <w:szCs w:val="24"/>
                      <w:lang w:val="en-GB"/>
                    </w:rPr>
                    <m:t>out</m:t>
                  </m:r>
                </m:sub>
              </m:sSub>
            </m:sup>
            <m:e>
              <m:r>
                <w:rPr>
                  <w:rFonts w:ascii="Cambria Math" w:eastAsia="Calibri" w:hAnsi="Cambria Math" w:cs="Times New Roman"/>
                  <w:szCs w:val="24"/>
                  <w:lang w:val="en-GB"/>
                </w:rPr>
                <m:t>P</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∙f</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dU</m:t>
              </m:r>
            </m:e>
          </m:nary>
          <m:r>
            <w:rPr>
              <w:rFonts w:ascii="Cambria Math" w:eastAsia="Calibri" w:hAnsi="Cambria Math" w:cs="Times New Roman"/>
              <w:szCs w:val="24"/>
              <w:lang w:val="en-GB"/>
            </w:rPr>
            <m:t>≈</m:t>
          </m:r>
          <m:nary>
            <m:naryPr>
              <m:chr m:val="∑"/>
              <m:limLoc m:val="undOvr"/>
              <m:supHide m:val="1"/>
              <m:ctrlPr>
                <w:rPr>
                  <w:rFonts w:ascii="Cambria Math" w:eastAsia="Calibri" w:hAnsi="Cambria Math" w:cs="Times New Roman"/>
                  <w:i/>
                  <w:szCs w:val="24"/>
                  <w:lang w:val="en-GB"/>
                </w:rPr>
              </m:ctrlPr>
            </m:naryPr>
            <m:sub>
              <m:r>
                <w:rPr>
                  <w:rFonts w:ascii="Cambria Math" w:eastAsia="Calibri" w:hAnsi="Cambria Math" w:cs="Times New Roman"/>
                  <w:szCs w:val="24"/>
                  <w:lang w:val="en-GB"/>
                </w:rPr>
                <m:t>wind class</m:t>
              </m:r>
            </m:sub>
            <m:sup/>
            <m:e>
              <m:r>
                <w:rPr>
                  <w:rFonts w:ascii="Cambria Math" w:eastAsia="Calibri" w:hAnsi="Cambria Math" w:cs="Times New Roman"/>
                  <w:szCs w:val="24"/>
                  <w:lang w:val="en-GB"/>
                </w:rPr>
                <m:t>P</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∙f</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e>
          </m:nary>
        </m:oMath>
      </m:oMathPara>
    </w:p>
    <w:p w14:paraId="7B93A270" w14:textId="77777777" w:rsidR="003C36F6" w:rsidRPr="002658FE" w:rsidRDefault="003C36F6" w:rsidP="003C36F6">
      <w:pPr>
        <w:spacing w:after="0" w:line="240" w:lineRule="auto"/>
        <w:jc w:val="both"/>
        <w:rPr>
          <w:rFonts w:eastAsia="Calibri" w:cs="Times New Roman"/>
          <w:sz w:val="20"/>
          <w:szCs w:val="20"/>
          <w:lang w:val="en-GB"/>
        </w:rPr>
      </w:pPr>
    </w:p>
    <w:p w14:paraId="69CB8AB0" w14:textId="77777777" w:rsidR="003C36F6" w:rsidRPr="003C36F6" w:rsidRDefault="003C36F6" w:rsidP="003C36F6">
      <w:pPr>
        <w:spacing w:after="120" w:line="312" w:lineRule="auto"/>
        <w:jc w:val="both"/>
        <w:rPr>
          <w:rFonts w:cs="Times New Roman"/>
          <w:sz w:val="22"/>
          <w:lang w:val="en-GB"/>
        </w:rPr>
      </w:pPr>
      <w:r w:rsidRPr="003C36F6">
        <w:rPr>
          <w:rFonts w:cs="Times New Roman"/>
          <w:sz w:val="22"/>
          <w:lang w:val="en-GB"/>
        </w:rPr>
        <w:t xml:space="preserve">where, </w:t>
      </w:r>
      <m:oMath>
        <m:sSub>
          <m:sSubPr>
            <m:ctrlPr>
              <w:rPr>
                <w:rFonts w:ascii="Cambria Math" w:eastAsia="Calibri" w:hAnsi="Cambria Math" w:cs="Times New Roman"/>
                <w:i/>
                <w:sz w:val="22"/>
                <w:lang w:val="en-GB"/>
              </w:rPr>
            </m:ctrlPr>
          </m:sSubPr>
          <m:e>
            <m:r>
              <w:rPr>
                <w:rFonts w:ascii="Cambria Math" w:eastAsia="Calibri" w:hAnsi="Cambria Math" w:cs="Times New Roman"/>
                <w:sz w:val="22"/>
                <w:lang w:val="en-GB"/>
              </w:rPr>
              <m:t>P</m:t>
            </m:r>
          </m:e>
          <m:sub>
            <m:r>
              <w:rPr>
                <w:rFonts w:ascii="Cambria Math" w:eastAsia="Calibri" w:hAnsi="Cambria Math" w:cs="Times New Roman"/>
                <w:sz w:val="22"/>
                <w:lang w:val="en-GB"/>
              </w:rPr>
              <m:t>expected</m:t>
            </m:r>
          </m:sub>
        </m:sSub>
      </m:oMath>
      <w:r w:rsidRPr="003C36F6">
        <w:rPr>
          <w:rFonts w:eastAsiaTheme="minorEastAsia" w:cs="Times New Roman"/>
          <w:sz w:val="22"/>
          <w:lang w:val="en-GB"/>
        </w:rPr>
        <w:t xml:space="preserve"> is the expected wind power, </w:t>
      </w:r>
      <w:r w:rsidRPr="003C36F6">
        <w:rPr>
          <w:rFonts w:cs="Times New Roman"/>
          <w:i/>
          <w:sz w:val="22"/>
          <w:lang w:val="en-GB"/>
        </w:rPr>
        <w:t>P(U)</w:t>
      </w:r>
      <w:r w:rsidRPr="003C36F6">
        <w:rPr>
          <w:rFonts w:cs="Times New Roman"/>
          <w:sz w:val="22"/>
          <w:lang w:val="en-GB"/>
        </w:rPr>
        <w:t xml:space="preserve"> is the power curve of the selected wind turbine, </w:t>
      </w:r>
      <w:r w:rsidRPr="003C36F6">
        <w:rPr>
          <w:rFonts w:cs="Times New Roman"/>
          <w:i/>
          <w:sz w:val="22"/>
          <w:lang w:val="en-GB"/>
        </w:rPr>
        <w:t>f(U)</w:t>
      </w:r>
      <w:r w:rsidRPr="003C36F6">
        <w:rPr>
          <w:rFonts w:cs="Times New Roman"/>
          <w:sz w:val="22"/>
          <w:lang w:val="en-GB"/>
        </w:rPr>
        <w:t xml:space="preserve"> is the Rayleigh probability distribution of a wind class. The wind classes considered for Rayleigh distribution range from 1 to 25 m/s and each class range is 1 m/s.</w:t>
      </w:r>
    </w:p>
    <w:p w14:paraId="40946046" w14:textId="77777777" w:rsidR="003C36F6" w:rsidRPr="009439E6" w:rsidRDefault="003C36F6" w:rsidP="003C36F6">
      <w:pPr>
        <w:pStyle w:val="Heading3"/>
        <w:numPr>
          <w:ilvl w:val="2"/>
          <w:numId w:val="3"/>
        </w:numPr>
        <w:rPr>
          <w:rFonts w:ascii="Times New Roman" w:eastAsia="Times New Roman" w:hAnsi="Times New Roman" w:cs="Times New Roman"/>
          <w:color w:val="auto"/>
          <w:sz w:val="22"/>
        </w:rPr>
      </w:pPr>
      <w:r w:rsidRPr="009439E6">
        <w:rPr>
          <w:rFonts w:ascii="Times New Roman" w:eastAsia="Times New Roman" w:hAnsi="Times New Roman" w:cs="Times New Roman"/>
          <w:color w:val="auto"/>
          <w:sz w:val="22"/>
        </w:rPr>
        <w:t>Calculation of expected wind energy</w:t>
      </w:r>
    </w:p>
    <w:p w14:paraId="173E2B35" w14:textId="77777777" w:rsidR="003C36F6" w:rsidRPr="007F460F" w:rsidRDefault="003C36F6" w:rsidP="003C36F6">
      <w:pPr>
        <w:spacing w:after="0"/>
        <w:rPr>
          <w:lang w:val="en-GB"/>
        </w:rPr>
      </w:pPr>
    </w:p>
    <w:p w14:paraId="470C588F" w14:textId="3ADB496D" w:rsidR="003C36F6" w:rsidRPr="007F460F" w:rsidRDefault="003C36F6" w:rsidP="009439E6">
      <w:pPr>
        <w:spacing w:after="120" w:line="312" w:lineRule="auto"/>
        <w:jc w:val="both"/>
        <w:rPr>
          <w:sz w:val="22"/>
          <w:lang w:val="en-US"/>
        </w:rPr>
      </w:pPr>
      <w:r>
        <w:rPr>
          <w:sz w:val="22"/>
          <w:lang w:val="en-GB"/>
        </w:rPr>
        <w:t>The y</w:t>
      </w:r>
      <w:r w:rsidRPr="007F460F">
        <w:rPr>
          <w:sz w:val="22"/>
          <w:lang w:val="en-GB"/>
        </w:rPr>
        <w:t>early expected wind</w:t>
      </w:r>
      <w:r w:rsidRPr="007F460F">
        <w:rPr>
          <w:sz w:val="22"/>
          <w:lang w:val="en-US"/>
        </w:rPr>
        <w:t xml:space="preserve"> energy yield of each grid cell was estimated by bringing in the</w:t>
      </w:r>
      <w:r w:rsidR="00A20D28">
        <w:rPr>
          <w:sz w:val="22"/>
          <w:lang w:val="en-US"/>
        </w:rPr>
        <w:t xml:space="preserve"> availability factor of a wind turbine</w:t>
      </w:r>
      <w:r w:rsidRPr="007F460F">
        <w:rPr>
          <w:sz w:val="22"/>
          <w:lang w:val="en-US"/>
        </w:rPr>
        <w:t xml:space="preserve"> and its number of hours in operation during a year. </w:t>
      </w:r>
      <w:r>
        <w:rPr>
          <w:sz w:val="22"/>
          <w:lang w:val="en-US"/>
        </w:rPr>
        <w:t>The a</w:t>
      </w:r>
      <w:r w:rsidRPr="007F460F">
        <w:rPr>
          <w:sz w:val="22"/>
          <w:lang w:val="en-US"/>
        </w:rPr>
        <w:t>vailability factor of a wind turbine is</w:t>
      </w:r>
      <w:r>
        <w:rPr>
          <w:sz w:val="22"/>
          <w:lang w:val="en-US"/>
        </w:rPr>
        <w:t xml:space="preserve"> the</w:t>
      </w:r>
      <w:r w:rsidRPr="007F460F">
        <w:rPr>
          <w:sz w:val="22"/>
          <w:lang w:val="en-US"/>
        </w:rPr>
        <w:t xml:space="preserve"> percentage of time during which a wind </w:t>
      </w:r>
      <w:r w:rsidR="00A20D28">
        <w:rPr>
          <w:sz w:val="22"/>
          <w:lang w:val="en-US"/>
        </w:rPr>
        <w:t>turbine</w:t>
      </w:r>
      <w:r w:rsidRPr="007F460F">
        <w:rPr>
          <w:sz w:val="22"/>
          <w:lang w:val="en-US"/>
        </w:rPr>
        <w:t xml:space="preserve"> is practically available for electricity production after considering</w:t>
      </w:r>
      <w:r w:rsidRPr="007F460F">
        <w:rPr>
          <w:rFonts w:eastAsia="Calibri" w:cs="Times New Roman"/>
          <w:lang w:val="en-GB"/>
        </w:rPr>
        <w:t xml:space="preserve"> planned outages for scheduled maintenance, inspections and forced outages such as breakdowns, grid outages, and severe weather conditions. Most of </w:t>
      </w:r>
      <w:r>
        <w:rPr>
          <w:rFonts w:eastAsia="Calibri" w:cs="Times New Roman"/>
          <w:lang w:val="en-GB"/>
        </w:rPr>
        <w:t xml:space="preserve">the </w:t>
      </w:r>
      <w:r w:rsidRPr="007F460F">
        <w:rPr>
          <w:rFonts w:eastAsia="Calibri" w:cs="Times New Roman"/>
          <w:lang w:val="en-GB"/>
        </w:rPr>
        <w:t xml:space="preserve">time </w:t>
      </w:r>
      <w:r>
        <w:rPr>
          <w:rFonts w:eastAsia="Calibri" w:cs="Times New Roman"/>
          <w:lang w:val="en-GB"/>
        </w:rPr>
        <w:t xml:space="preserve">the </w:t>
      </w:r>
      <w:r w:rsidRPr="007F460F">
        <w:rPr>
          <w:rFonts w:eastAsia="Calibri" w:cs="Times New Roman"/>
          <w:lang w:val="en-GB"/>
        </w:rPr>
        <w:t>availability factor of wind farms typically ranges between 94%–97% while recent data about modern wind farms indicate</w:t>
      </w:r>
      <w:r>
        <w:rPr>
          <w:rFonts w:eastAsia="Calibri" w:cs="Times New Roman"/>
          <w:lang w:val="en-GB"/>
        </w:rPr>
        <w:t xml:space="preserve"> that</w:t>
      </w:r>
      <w:r w:rsidRPr="007F460F">
        <w:rPr>
          <w:rFonts w:eastAsia="Calibri" w:cs="Times New Roman"/>
          <w:lang w:val="en-GB"/>
        </w:rPr>
        <w:t xml:space="preserve"> the availability factor range</w:t>
      </w:r>
      <w:r>
        <w:rPr>
          <w:rFonts w:eastAsia="Calibri" w:cs="Times New Roman"/>
          <w:lang w:val="en-GB"/>
        </w:rPr>
        <w:t>s</w:t>
      </w:r>
      <w:r w:rsidRPr="007F460F">
        <w:rPr>
          <w:rFonts w:eastAsia="Calibri" w:cs="Times New Roman"/>
          <w:lang w:val="en-GB"/>
        </w:rPr>
        <w:t xml:space="preserve"> </w:t>
      </w:r>
      <w:r>
        <w:rPr>
          <w:rFonts w:eastAsia="Calibri" w:cs="Times New Roman"/>
          <w:lang w:val="en-GB"/>
        </w:rPr>
        <w:t>from</w:t>
      </w:r>
      <w:r w:rsidRPr="007F460F">
        <w:rPr>
          <w:rFonts w:eastAsia="Calibri" w:cs="Times New Roman"/>
          <w:lang w:val="en-GB"/>
        </w:rPr>
        <w:t xml:space="preserve"> 97–99%. </w:t>
      </w:r>
      <w:r w:rsidRPr="007F460F">
        <w:rPr>
          <w:sz w:val="22"/>
          <w:lang w:val="en-US"/>
        </w:rPr>
        <w:t xml:space="preserve">For this study, </w:t>
      </w:r>
      <w:r>
        <w:rPr>
          <w:sz w:val="22"/>
          <w:lang w:val="en-US"/>
        </w:rPr>
        <w:t xml:space="preserve">the </w:t>
      </w:r>
      <w:r w:rsidRPr="007F460F">
        <w:rPr>
          <w:sz w:val="22"/>
          <w:lang w:val="en-US"/>
        </w:rPr>
        <w:t xml:space="preserve">yearly expected wind energy was calculated by using </w:t>
      </w:r>
      <w:r>
        <w:rPr>
          <w:sz w:val="22"/>
          <w:lang w:val="en-US"/>
        </w:rPr>
        <w:t xml:space="preserve">the following </w:t>
      </w:r>
      <w:r w:rsidRPr="007F460F">
        <w:rPr>
          <w:sz w:val="22"/>
          <w:lang w:val="en-US"/>
        </w:rPr>
        <w:t>equation.</w:t>
      </w:r>
    </w:p>
    <w:p w14:paraId="3FAE4AA7" w14:textId="77777777" w:rsidR="003C36F6" w:rsidRPr="007F460F" w:rsidRDefault="003C36F6" w:rsidP="003C36F6">
      <w:pPr>
        <w:spacing w:after="0" w:line="240" w:lineRule="auto"/>
        <w:jc w:val="both"/>
        <w:rPr>
          <w:rFonts w:eastAsia="Calibri" w:cs="Times New Roman"/>
          <w:sz w:val="20"/>
          <w:szCs w:val="20"/>
          <w:lang w:val="en-GB"/>
        </w:rPr>
      </w:pPr>
    </w:p>
    <w:p w14:paraId="1C72C74E" w14:textId="77777777" w:rsidR="003C36F6" w:rsidRPr="00357FB8" w:rsidRDefault="00AC4AB5" w:rsidP="003C36F6">
      <w:pPr>
        <w:spacing w:after="0" w:line="240" w:lineRule="auto"/>
        <w:jc w:val="both"/>
        <w:rPr>
          <w:rFonts w:eastAsia="Times New Roman" w:cs="Times New Roman"/>
          <w:szCs w:val="24"/>
          <w:lang w:val="en-GB"/>
        </w:rPr>
      </w:pPr>
      <m:oMathPara>
        <m:oMathParaPr>
          <m:jc m:val="center"/>
        </m:oMathParaPr>
        <m:oMath>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E</m:t>
              </m:r>
            </m:e>
            <m:sub>
              <m:r>
                <w:rPr>
                  <w:rFonts w:ascii="Cambria Math" w:eastAsia="Calibri" w:hAnsi="Cambria Math" w:cs="Times New Roman"/>
                  <w:szCs w:val="24"/>
                  <w:lang w:val="en-GB"/>
                </w:rPr>
                <m:t>expected</m:t>
              </m:r>
            </m:sub>
          </m:sSub>
          <m:r>
            <w:rPr>
              <w:rFonts w:ascii="Cambria Math" w:eastAsia="Calibri" w:hAnsi="Cambria Math" w:cs="Times New Roman"/>
              <w:szCs w:val="24"/>
              <w:lang w:val="en-GB"/>
            </w:rPr>
            <m:t>=μ∙Τ</m:t>
          </m:r>
          <m:nary>
            <m:naryPr>
              <m:limLoc m:val="subSup"/>
              <m:ctrlPr>
                <w:rPr>
                  <w:rFonts w:ascii="Cambria Math" w:eastAsia="Calibri" w:hAnsi="Cambria Math" w:cs="Times New Roman"/>
                  <w:i/>
                  <w:szCs w:val="24"/>
                  <w:lang w:val="en-GB"/>
                </w:rPr>
              </m:ctrlPr>
            </m:naryPr>
            <m:sub>
              <m:r>
                <w:rPr>
                  <w:rFonts w:ascii="Cambria Math" w:eastAsia="Calibri" w:hAnsi="Cambria Math" w:cs="Times New Roman"/>
                  <w:szCs w:val="24"/>
                  <w:lang w:val="en-GB"/>
                </w:rPr>
                <m:t>U=0</m:t>
              </m:r>
            </m:sub>
            <m:sup>
              <m:r>
                <w:rPr>
                  <w:rFonts w:ascii="Cambria Math" w:eastAsia="Calibri" w:hAnsi="Cambria Math" w:cs="Times New Roman"/>
                  <w:szCs w:val="24"/>
                  <w:lang w:val="en-GB"/>
                </w:rPr>
                <m:t>U=cu</m:t>
              </m:r>
              <m:sSub>
                <m:sSubPr>
                  <m:ctrlPr>
                    <w:rPr>
                      <w:rFonts w:ascii="Cambria Math" w:eastAsia="Calibri" w:hAnsi="Cambria Math" w:cs="Times New Roman"/>
                      <w:i/>
                      <w:szCs w:val="24"/>
                      <w:lang w:val="en-GB"/>
                    </w:rPr>
                  </m:ctrlPr>
                </m:sSubPr>
                <m:e>
                  <m:r>
                    <w:rPr>
                      <w:rFonts w:ascii="Cambria Math" w:eastAsia="Calibri" w:hAnsi="Cambria Math" w:cs="Times New Roman"/>
                      <w:szCs w:val="24"/>
                      <w:lang w:val="en-GB"/>
                    </w:rPr>
                    <m:t>t</m:t>
                  </m:r>
                </m:e>
                <m:sub>
                  <m:r>
                    <w:rPr>
                      <w:rFonts w:ascii="Cambria Math" w:eastAsia="Calibri" w:hAnsi="Cambria Math" w:cs="Times New Roman"/>
                      <w:szCs w:val="24"/>
                      <w:lang w:val="en-GB"/>
                    </w:rPr>
                    <m:t>out</m:t>
                  </m:r>
                </m:sub>
              </m:sSub>
            </m:sup>
            <m:e>
              <m:r>
                <w:rPr>
                  <w:rFonts w:ascii="Cambria Math" w:eastAsia="Calibri" w:hAnsi="Cambria Math" w:cs="Times New Roman"/>
                  <w:szCs w:val="24"/>
                  <w:lang w:val="en-GB"/>
                </w:rPr>
                <m:t>P</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∙f</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dU</m:t>
              </m:r>
            </m:e>
          </m:nary>
          <m:r>
            <w:rPr>
              <w:rFonts w:ascii="Cambria Math" w:eastAsia="Calibri" w:hAnsi="Cambria Math" w:cs="Times New Roman"/>
              <w:szCs w:val="24"/>
              <w:lang w:val="en-GB"/>
            </w:rPr>
            <m:t>≈μ∙Τ</m:t>
          </m:r>
          <m:nary>
            <m:naryPr>
              <m:chr m:val="∑"/>
              <m:limLoc m:val="undOvr"/>
              <m:supHide m:val="1"/>
              <m:ctrlPr>
                <w:rPr>
                  <w:rFonts w:ascii="Cambria Math" w:eastAsia="Calibri" w:hAnsi="Cambria Math" w:cs="Times New Roman"/>
                  <w:i/>
                  <w:szCs w:val="24"/>
                  <w:lang w:val="en-GB"/>
                </w:rPr>
              </m:ctrlPr>
            </m:naryPr>
            <m:sub>
              <m:r>
                <w:rPr>
                  <w:rFonts w:ascii="Cambria Math" w:eastAsia="Calibri" w:hAnsi="Cambria Math" w:cs="Times New Roman"/>
                  <w:szCs w:val="24"/>
                  <w:lang w:val="en-GB"/>
                </w:rPr>
                <m:t>wind class</m:t>
              </m:r>
            </m:sub>
            <m:sup/>
            <m:e>
              <m:r>
                <w:rPr>
                  <w:rFonts w:ascii="Cambria Math" w:eastAsia="Calibri" w:hAnsi="Cambria Math" w:cs="Times New Roman"/>
                  <w:szCs w:val="24"/>
                  <w:lang w:val="en-GB"/>
                </w:rPr>
                <m:t>P</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r>
                <w:rPr>
                  <w:rFonts w:ascii="Cambria Math" w:eastAsia="Calibri" w:hAnsi="Cambria Math" w:cs="Times New Roman"/>
                  <w:szCs w:val="24"/>
                  <w:lang w:val="en-GB"/>
                </w:rPr>
                <m:t>∙f</m:t>
              </m:r>
              <m:d>
                <m:dPr>
                  <m:ctrlPr>
                    <w:rPr>
                      <w:rFonts w:ascii="Cambria Math" w:eastAsia="Calibri" w:hAnsi="Cambria Math" w:cs="Times New Roman"/>
                      <w:i/>
                      <w:szCs w:val="24"/>
                      <w:lang w:val="en-GB"/>
                    </w:rPr>
                  </m:ctrlPr>
                </m:dPr>
                <m:e>
                  <m:r>
                    <w:rPr>
                      <w:rFonts w:ascii="Cambria Math" w:eastAsia="Calibri" w:hAnsi="Cambria Math" w:cs="Times New Roman"/>
                      <w:szCs w:val="24"/>
                      <w:lang w:val="en-GB"/>
                    </w:rPr>
                    <m:t>U</m:t>
                  </m:r>
                </m:e>
              </m:d>
            </m:e>
          </m:nary>
        </m:oMath>
      </m:oMathPara>
    </w:p>
    <w:p w14:paraId="7A54BE9E" w14:textId="77777777" w:rsidR="003C36F6" w:rsidRPr="002658FE" w:rsidRDefault="003C36F6" w:rsidP="003C36F6">
      <w:pPr>
        <w:spacing w:after="0" w:line="240" w:lineRule="auto"/>
        <w:jc w:val="both"/>
        <w:rPr>
          <w:rFonts w:eastAsia="Times New Roman" w:cs="Times New Roman"/>
          <w:sz w:val="20"/>
          <w:szCs w:val="20"/>
          <w:lang w:val="en-GB"/>
        </w:rPr>
      </w:pPr>
    </w:p>
    <w:p w14:paraId="2021B7F3" w14:textId="77777777" w:rsidR="003C36F6" w:rsidRPr="009439E6" w:rsidRDefault="003C36F6" w:rsidP="009439E6">
      <w:pPr>
        <w:spacing w:after="120" w:line="312" w:lineRule="auto"/>
        <w:jc w:val="both"/>
        <w:rPr>
          <w:rFonts w:eastAsia="Times New Roman" w:cs="Times New Roman"/>
          <w:sz w:val="22"/>
          <w:lang w:val="en-GB"/>
        </w:rPr>
      </w:pPr>
      <w:r w:rsidRPr="009439E6">
        <w:rPr>
          <w:rFonts w:eastAsia="Times New Roman" w:cs="Times New Roman"/>
          <w:sz w:val="22"/>
          <w:lang w:val="en-GB"/>
        </w:rPr>
        <w:t xml:space="preserve">where, </w:t>
      </w:r>
      <m:oMath>
        <m:sSub>
          <m:sSubPr>
            <m:ctrlPr>
              <w:rPr>
                <w:rFonts w:ascii="Cambria Math" w:eastAsia="Calibri" w:hAnsi="Cambria Math" w:cs="Times New Roman"/>
                <w:i/>
                <w:sz w:val="22"/>
                <w:lang w:val="en-GB"/>
              </w:rPr>
            </m:ctrlPr>
          </m:sSubPr>
          <m:e>
            <m:r>
              <w:rPr>
                <w:rFonts w:ascii="Cambria Math" w:eastAsia="Calibri" w:hAnsi="Cambria Math" w:cs="Times New Roman"/>
                <w:sz w:val="22"/>
                <w:lang w:val="en-GB"/>
              </w:rPr>
              <m:t>E</m:t>
            </m:r>
          </m:e>
          <m:sub>
            <m:r>
              <w:rPr>
                <w:rFonts w:ascii="Cambria Math" w:eastAsia="Calibri" w:hAnsi="Cambria Math" w:cs="Times New Roman"/>
                <w:sz w:val="22"/>
                <w:lang w:val="en-GB"/>
              </w:rPr>
              <m:t>expected</m:t>
            </m:r>
          </m:sub>
        </m:sSub>
      </m:oMath>
      <w:r w:rsidRPr="009439E6">
        <w:rPr>
          <w:rFonts w:eastAsia="Times New Roman" w:cs="Times New Roman"/>
          <w:sz w:val="22"/>
          <w:lang w:val="en-GB"/>
        </w:rPr>
        <w:t xml:space="preserve"> is the yearly expected wind energy, </w:t>
      </w:r>
      <w:r w:rsidRPr="009439E6">
        <w:rPr>
          <w:rFonts w:eastAsia="Times New Roman" w:cs="Times New Roman"/>
          <w:i/>
          <w:sz w:val="22"/>
          <w:lang w:val="en-GB"/>
        </w:rPr>
        <w:t>μ</w:t>
      </w:r>
      <w:r w:rsidRPr="009439E6">
        <w:rPr>
          <w:rFonts w:eastAsia="Times New Roman" w:cs="Times New Roman"/>
          <w:sz w:val="22"/>
          <w:lang w:val="en-GB"/>
        </w:rPr>
        <w:t xml:space="preserve"> is the availability factor of the wind farm and </w:t>
      </w:r>
      <w:r w:rsidRPr="009439E6">
        <w:rPr>
          <w:rFonts w:eastAsia="Times New Roman" w:cs="Times New Roman"/>
          <w:i/>
          <w:sz w:val="22"/>
          <w:lang w:val="en-GB"/>
        </w:rPr>
        <w:t>T</w:t>
      </w:r>
      <w:r w:rsidRPr="009439E6">
        <w:rPr>
          <w:rFonts w:eastAsia="Times New Roman" w:cs="Times New Roman"/>
          <w:sz w:val="22"/>
          <w:lang w:val="en-GB"/>
        </w:rPr>
        <w:t xml:space="preserve"> is the time in hours of a full year, i.e. 365.25 x 24 hours. It should be mentioned that in this study the used availability factor was equal to 97%.</w:t>
      </w:r>
    </w:p>
    <w:p w14:paraId="489AA531" w14:textId="77777777" w:rsidR="003C36F6" w:rsidRPr="009439E6" w:rsidRDefault="003C36F6" w:rsidP="003C36F6">
      <w:pPr>
        <w:pStyle w:val="Heading3"/>
        <w:numPr>
          <w:ilvl w:val="2"/>
          <w:numId w:val="3"/>
        </w:numPr>
        <w:rPr>
          <w:rFonts w:ascii="Times New Roman" w:eastAsia="Times New Roman" w:hAnsi="Times New Roman" w:cs="Times New Roman"/>
          <w:color w:val="auto"/>
          <w:sz w:val="22"/>
        </w:rPr>
      </w:pPr>
      <w:r w:rsidRPr="009439E6">
        <w:rPr>
          <w:rFonts w:ascii="Times New Roman" w:eastAsia="Times New Roman" w:hAnsi="Times New Roman" w:cs="Times New Roman"/>
          <w:color w:val="auto"/>
          <w:sz w:val="22"/>
        </w:rPr>
        <w:t>Calculation of capacity factor</w:t>
      </w:r>
    </w:p>
    <w:p w14:paraId="6FC02050" w14:textId="77777777" w:rsidR="003C36F6" w:rsidRPr="007F460F" w:rsidRDefault="003C36F6" w:rsidP="003C36F6">
      <w:pPr>
        <w:spacing w:after="0" w:line="240" w:lineRule="auto"/>
        <w:jc w:val="both"/>
        <w:rPr>
          <w:lang w:val="en-GB"/>
        </w:rPr>
      </w:pPr>
    </w:p>
    <w:p w14:paraId="38A4A343" w14:textId="77777777" w:rsidR="003C36F6" w:rsidRPr="009439E6" w:rsidRDefault="003C36F6" w:rsidP="009439E6">
      <w:pPr>
        <w:spacing w:after="120" w:line="312" w:lineRule="auto"/>
        <w:jc w:val="both"/>
        <w:rPr>
          <w:szCs w:val="24"/>
          <w:lang w:val="en-US"/>
        </w:rPr>
      </w:pPr>
      <w:r w:rsidRPr="007F460F">
        <w:rPr>
          <w:szCs w:val="24"/>
          <w:lang w:val="en-US"/>
        </w:rPr>
        <w:t xml:space="preserve">The capacity factor reflects the potential wind power at </w:t>
      </w:r>
      <w:r>
        <w:rPr>
          <w:szCs w:val="24"/>
          <w:lang w:val="en-US"/>
        </w:rPr>
        <w:t xml:space="preserve">a </w:t>
      </w:r>
      <w:r w:rsidRPr="007F460F">
        <w:rPr>
          <w:szCs w:val="24"/>
          <w:lang w:val="en-US"/>
        </w:rPr>
        <w:t xml:space="preserve">given site and it can be used for comparing different sites before </w:t>
      </w:r>
      <w:r>
        <w:rPr>
          <w:szCs w:val="24"/>
          <w:lang w:val="en-US"/>
        </w:rPr>
        <w:t xml:space="preserve">the </w:t>
      </w:r>
      <w:r w:rsidRPr="007F460F">
        <w:rPr>
          <w:szCs w:val="24"/>
          <w:lang w:val="en-US"/>
        </w:rPr>
        <w:t xml:space="preserve">installation of wind power plants. The capacity factor of a wind turbine is defined as the ratio of the yearly expected wind energy production to the energy production by the same wind turbine at its rated power. The yearly expected wind energy production and the rated power of a single V-44 wind turbine were used to calculate the global wind power capacity factor available in each grid cell. </w:t>
      </w:r>
      <w:r>
        <w:rPr>
          <w:szCs w:val="24"/>
          <w:lang w:val="en-US"/>
        </w:rPr>
        <w:t>The c</w:t>
      </w:r>
      <w:r w:rsidRPr="007F460F">
        <w:rPr>
          <w:szCs w:val="24"/>
          <w:lang w:val="en-US"/>
        </w:rPr>
        <w:t xml:space="preserve">apacity factor was estimated by </w:t>
      </w:r>
      <w:r>
        <w:rPr>
          <w:szCs w:val="24"/>
          <w:lang w:val="en-US"/>
        </w:rPr>
        <w:t>the</w:t>
      </w:r>
      <w:r w:rsidRPr="007F460F">
        <w:rPr>
          <w:szCs w:val="24"/>
          <w:lang w:val="en-US"/>
        </w:rPr>
        <w:t xml:space="preserve"> equation</w:t>
      </w:r>
      <w:r>
        <w:rPr>
          <w:szCs w:val="24"/>
          <w:lang w:val="en-US"/>
        </w:rPr>
        <w:t xml:space="preserve"> below</w:t>
      </w:r>
      <w:r w:rsidRPr="007F460F">
        <w:rPr>
          <w:szCs w:val="24"/>
          <w:lang w:val="en-US"/>
        </w:rPr>
        <w:t>:</w:t>
      </w:r>
    </w:p>
    <w:p w14:paraId="1F18011B" w14:textId="77777777" w:rsidR="003C36F6" w:rsidRPr="00357FB8" w:rsidRDefault="003C36F6" w:rsidP="003C36F6">
      <w:pPr>
        <w:spacing w:after="0"/>
        <w:rPr>
          <w:i/>
          <w:szCs w:val="24"/>
        </w:rPr>
      </w:pPr>
      <m:oMathPara>
        <m:oMath>
          <m:r>
            <w:rPr>
              <w:rFonts w:ascii="Cambria Math" w:hAnsi="Cambria Math"/>
              <w:szCs w:val="24"/>
            </w:rPr>
            <m:t>Capacity factor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expected</m:t>
                  </m:r>
                </m:sub>
              </m:sSub>
            </m:num>
            <m:den>
              <m:sSub>
                <m:sSubPr>
                  <m:ctrlPr>
                    <w:rPr>
                      <w:rFonts w:ascii="Cambria Math" w:hAnsi="Cambria Math"/>
                      <w:i/>
                      <w:szCs w:val="24"/>
                    </w:rPr>
                  </m:ctrlPr>
                </m:sSubPr>
                <m:e>
                  <m:r>
                    <w:rPr>
                      <w:rFonts w:ascii="Cambria Math" w:hAnsi="Cambria Math"/>
                      <w:szCs w:val="24"/>
                    </w:rPr>
                    <m:t xml:space="preserve"> P</m:t>
                  </m:r>
                </m:e>
                <m:sub>
                  <m:r>
                    <w:rPr>
                      <w:rFonts w:ascii="Cambria Math" w:hAnsi="Cambria Math"/>
                      <w:szCs w:val="24"/>
                    </w:rPr>
                    <m:t>rated</m:t>
                  </m:r>
                </m:sub>
              </m:sSub>
              <m:r>
                <w:rPr>
                  <w:rFonts w:ascii="Cambria Math" w:hAnsi="Cambria Math"/>
                  <w:szCs w:val="24"/>
                </w:rPr>
                <m:t>*T</m:t>
              </m:r>
            </m:den>
          </m:f>
          <m:r>
            <w:rPr>
              <w:rFonts w:ascii="Cambria Math" w:hAnsi="Cambria Math"/>
              <w:szCs w:val="24"/>
            </w:rPr>
            <m:t>*100</m:t>
          </m:r>
        </m:oMath>
      </m:oMathPara>
    </w:p>
    <w:p w14:paraId="76EF3263" w14:textId="77777777" w:rsidR="003C36F6" w:rsidRPr="00E40EA9" w:rsidRDefault="003C36F6" w:rsidP="003C36F6">
      <w:pPr>
        <w:spacing w:after="0"/>
        <w:rPr>
          <w:sz w:val="20"/>
          <w:szCs w:val="20"/>
        </w:rPr>
      </w:pPr>
    </w:p>
    <w:p w14:paraId="516CE80A" w14:textId="77777777" w:rsidR="003C36F6" w:rsidRPr="007F460F" w:rsidRDefault="0018025E" w:rsidP="009439E6">
      <w:pPr>
        <w:spacing w:after="120" w:line="312" w:lineRule="auto"/>
        <w:rPr>
          <w:sz w:val="22"/>
          <w:lang w:val="en-US"/>
        </w:rPr>
      </w:pPr>
      <w:r>
        <w:rPr>
          <w:sz w:val="22"/>
          <w:lang w:val="en-US"/>
        </w:rPr>
        <w:t>where</w:t>
      </w:r>
      <w:r w:rsidR="003C36F6" w:rsidRPr="007F460F">
        <w:rPr>
          <w:sz w:val="22"/>
          <w:lang w:val="en-US"/>
        </w:rPr>
        <w:t xml:space="preserve"> </w:t>
      </w:r>
      <m:oMath>
        <m:sSub>
          <m:sSubPr>
            <m:ctrlPr>
              <w:rPr>
                <w:rFonts w:ascii="Cambria Math" w:hAnsi="Cambria Math"/>
                <w:i/>
                <w:sz w:val="22"/>
              </w:rPr>
            </m:ctrlPr>
          </m:sSubPr>
          <m:e>
            <m:r>
              <w:rPr>
                <w:rFonts w:ascii="Cambria Math" w:hAnsi="Cambria Math"/>
                <w:sz w:val="22"/>
                <w:lang w:val="en-US"/>
              </w:rPr>
              <m:t>P</m:t>
            </m:r>
          </m:e>
          <m:sub>
            <m:r>
              <w:rPr>
                <w:rFonts w:ascii="Cambria Math" w:hAnsi="Cambria Math"/>
                <w:sz w:val="22"/>
                <w:lang w:val="en-US"/>
              </w:rPr>
              <m:t>rated</m:t>
            </m:r>
          </m:sub>
        </m:sSub>
      </m:oMath>
      <w:r w:rsidR="003C36F6" w:rsidRPr="007F460F">
        <w:rPr>
          <w:sz w:val="22"/>
          <w:lang w:val="en-US"/>
        </w:rPr>
        <w:t xml:space="preserve"> is </w:t>
      </w:r>
      <w:r w:rsidR="003C36F6">
        <w:rPr>
          <w:sz w:val="22"/>
          <w:lang w:val="en-US"/>
        </w:rPr>
        <w:t xml:space="preserve">the </w:t>
      </w:r>
      <w:r w:rsidR="003C36F6" w:rsidRPr="007F460F">
        <w:rPr>
          <w:sz w:val="22"/>
          <w:lang w:val="en-US"/>
        </w:rPr>
        <w:t xml:space="preserve">rated power of </w:t>
      </w:r>
      <w:r w:rsidR="003C36F6">
        <w:rPr>
          <w:sz w:val="22"/>
          <w:lang w:val="en-US"/>
        </w:rPr>
        <w:t xml:space="preserve">the </w:t>
      </w:r>
      <w:r w:rsidR="003C36F6" w:rsidRPr="007F460F">
        <w:rPr>
          <w:sz w:val="22"/>
          <w:lang w:val="en-US"/>
        </w:rPr>
        <w:t xml:space="preserve">wind turbine, and </w:t>
      </w:r>
      <w:r w:rsidR="003C36F6" w:rsidRPr="00BA670B">
        <w:rPr>
          <w:i/>
          <w:sz w:val="22"/>
          <w:lang w:val="en-US"/>
        </w:rPr>
        <w:t>T</w:t>
      </w:r>
      <w:r w:rsidR="003C36F6" w:rsidRPr="007F460F">
        <w:rPr>
          <w:sz w:val="22"/>
          <w:lang w:val="en-US"/>
        </w:rPr>
        <w:t xml:space="preserve"> is</w:t>
      </w:r>
      <w:r w:rsidR="003C36F6">
        <w:rPr>
          <w:sz w:val="22"/>
          <w:lang w:val="en-US"/>
        </w:rPr>
        <w:t xml:space="preserve"> the</w:t>
      </w:r>
      <w:r w:rsidR="003C36F6" w:rsidRPr="007F460F">
        <w:rPr>
          <w:sz w:val="22"/>
          <w:lang w:val="en-US"/>
        </w:rPr>
        <w:t xml:space="preserve"> number of hours in a year.</w:t>
      </w:r>
    </w:p>
    <w:p w14:paraId="5A0EAD02" w14:textId="77777777" w:rsidR="003C36F6" w:rsidRPr="009439E6" w:rsidRDefault="003C36F6" w:rsidP="003C36F6">
      <w:pPr>
        <w:pStyle w:val="Heading3"/>
        <w:numPr>
          <w:ilvl w:val="2"/>
          <w:numId w:val="3"/>
        </w:numPr>
        <w:rPr>
          <w:rFonts w:ascii="Times New Roman" w:eastAsia="Times New Roman" w:hAnsi="Times New Roman" w:cs="Times New Roman"/>
          <w:color w:val="auto"/>
          <w:sz w:val="22"/>
        </w:rPr>
      </w:pPr>
      <w:r w:rsidRPr="009439E6">
        <w:rPr>
          <w:rFonts w:ascii="Times New Roman" w:eastAsia="Times New Roman" w:hAnsi="Times New Roman" w:cs="Times New Roman"/>
          <w:color w:val="auto"/>
          <w:sz w:val="22"/>
        </w:rPr>
        <w:t>Land suitability for wind energy</w:t>
      </w:r>
    </w:p>
    <w:p w14:paraId="00101CB8" w14:textId="77777777" w:rsidR="003C36F6" w:rsidRDefault="003C36F6" w:rsidP="003C36F6">
      <w:pPr>
        <w:spacing w:after="0"/>
        <w:jc w:val="both"/>
        <w:rPr>
          <w:lang w:val="en-GB"/>
        </w:rPr>
      </w:pPr>
    </w:p>
    <w:p w14:paraId="052A5D0B" w14:textId="77777777" w:rsidR="003C36F6" w:rsidRDefault="003C36F6" w:rsidP="009439E6">
      <w:pPr>
        <w:spacing w:after="120" w:line="312" w:lineRule="auto"/>
        <w:jc w:val="both"/>
        <w:rPr>
          <w:sz w:val="22"/>
          <w:shd w:val="clear" w:color="auto" w:fill="FFFFFF"/>
          <w:lang w:val="en-US"/>
        </w:rPr>
      </w:pPr>
      <w:r>
        <w:rPr>
          <w:sz w:val="22"/>
          <w:shd w:val="clear" w:color="auto" w:fill="FFFFFF"/>
          <w:lang w:val="en-US"/>
        </w:rPr>
        <w:t>Wind energy</w:t>
      </w:r>
      <w:r w:rsidRPr="0082118E">
        <w:rPr>
          <w:sz w:val="22"/>
          <w:shd w:val="clear" w:color="auto" w:fill="FFFFFF"/>
          <w:lang w:val="en-US"/>
        </w:rPr>
        <w:t xml:space="preserve">, </w:t>
      </w:r>
      <w:r>
        <w:rPr>
          <w:sz w:val="22"/>
          <w:shd w:val="clear" w:color="auto" w:fill="FFFFFF"/>
          <w:lang w:val="en-US"/>
        </w:rPr>
        <w:t xml:space="preserve">just </w:t>
      </w:r>
      <w:r w:rsidRPr="0082118E">
        <w:rPr>
          <w:sz w:val="22"/>
          <w:shd w:val="clear" w:color="auto" w:fill="FFFFFF"/>
          <w:lang w:val="en-US"/>
        </w:rPr>
        <w:t xml:space="preserve">like any </w:t>
      </w:r>
      <w:r>
        <w:rPr>
          <w:sz w:val="22"/>
          <w:shd w:val="clear" w:color="auto" w:fill="FFFFFF"/>
          <w:lang w:val="en-US"/>
        </w:rPr>
        <w:t>other energy resource, has some technical, environmental and social requirements</w:t>
      </w:r>
      <w:r w:rsidRPr="0082118E">
        <w:rPr>
          <w:sz w:val="22"/>
          <w:shd w:val="clear" w:color="auto" w:fill="FFFFFF"/>
          <w:lang w:val="en-US"/>
        </w:rPr>
        <w:t>. Other practical issues include safety requirements in the form of minimum dis</w:t>
      </w:r>
      <w:r>
        <w:rPr>
          <w:sz w:val="22"/>
          <w:shd w:val="clear" w:color="auto" w:fill="FFFFFF"/>
          <w:lang w:val="en-US"/>
        </w:rPr>
        <w:t xml:space="preserve">tance from sites related to infrastructure and ecosystems. Due to these reason, it is necessary to specifically locate the land areas suitable for wind energy installation. In this paper, the </w:t>
      </w:r>
      <w:r>
        <w:rPr>
          <w:sz w:val="22"/>
          <w:lang w:val="en-US"/>
        </w:rPr>
        <w:t xml:space="preserve">suitable land area available for </w:t>
      </w:r>
      <w:r w:rsidRPr="00D5557F">
        <w:rPr>
          <w:sz w:val="22"/>
          <w:lang w:val="en-US"/>
        </w:rPr>
        <w:t>o</w:t>
      </w:r>
      <w:r>
        <w:rPr>
          <w:sz w:val="22"/>
          <w:lang w:val="en-US"/>
        </w:rPr>
        <w:t xml:space="preserve">nshore wind energy potential throughout the world </w:t>
      </w:r>
      <w:r w:rsidRPr="00D5557F">
        <w:rPr>
          <w:sz w:val="22"/>
          <w:lang w:val="en-US"/>
        </w:rPr>
        <w:t>was estimate</w:t>
      </w:r>
      <w:r>
        <w:rPr>
          <w:sz w:val="22"/>
          <w:lang w:val="en-US"/>
        </w:rPr>
        <w:t xml:space="preserve">d by excluding the </w:t>
      </w:r>
      <w:r w:rsidRPr="007F460F">
        <w:rPr>
          <w:rFonts w:eastAsia="Calibri" w:cs="Times New Roman"/>
          <w:szCs w:val="24"/>
          <w:lang w:val="en-GB"/>
        </w:rPr>
        <w:t xml:space="preserve">inland water bodies, </w:t>
      </w:r>
      <w:r>
        <w:rPr>
          <w:rFonts w:eastAsia="Calibri" w:cs="Times New Roman"/>
          <w:szCs w:val="24"/>
          <w:lang w:val="en-GB"/>
        </w:rPr>
        <w:t xml:space="preserve">the </w:t>
      </w:r>
      <w:r w:rsidRPr="007F460F">
        <w:rPr>
          <w:rFonts w:eastAsia="Calibri" w:cs="Times New Roman"/>
          <w:szCs w:val="24"/>
          <w:lang w:val="en-GB"/>
        </w:rPr>
        <w:t xml:space="preserve">protected areas, </w:t>
      </w:r>
      <w:r>
        <w:rPr>
          <w:rFonts w:eastAsia="Calibri" w:cs="Times New Roman"/>
          <w:szCs w:val="24"/>
          <w:lang w:val="en-GB"/>
        </w:rPr>
        <w:t xml:space="preserve">the </w:t>
      </w:r>
      <w:r w:rsidRPr="007F460F">
        <w:rPr>
          <w:rFonts w:eastAsia="Calibri" w:cs="Times New Roman"/>
          <w:szCs w:val="24"/>
          <w:lang w:val="en-GB"/>
        </w:rPr>
        <w:t>urb</w:t>
      </w:r>
      <w:r>
        <w:rPr>
          <w:rFonts w:eastAsia="Calibri" w:cs="Times New Roman"/>
          <w:szCs w:val="24"/>
          <w:lang w:val="en-GB"/>
        </w:rPr>
        <w:t>an areas, the land areas having slope greater than 18</w:t>
      </w:r>
      <w:r w:rsidRPr="00ED2AF0">
        <w:rPr>
          <w:rFonts w:eastAsia="Calibri" w:cs="Times New Roman"/>
          <w:szCs w:val="24"/>
          <w:vertAlign w:val="superscript"/>
          <w:lang w:val="en-GB"/>
        </w:rPr>
        <w:t>o</w:t>
      </w:r>
      <w:r>
        <w:rPr>
          <w:rFonts w:eastAsia="Calibri" w:cs="Times New Roman"/>
          <w:szCs w:val="24"/>
          <w:lang w:val="en-GB"/>
        </w:rPr>
        <w:t xml:space="preserve"> and the areas with </w:t>
      </w:r>
      <w:r w:rsidRPr="007F460F">
        <w:rPr>
          <w:rFonts w:eastAsia="Calibri" w:cs="Times New Roman"/>
          <w:szCs w:val="24"/>
          <w:lang w:val="en-GB"/>
        </w:rPr>
        <w:t xml:space="preserve">elevation </w:t>
      </w:r>
      <w:r>
        <w:rPr>
          <w:rFonts w:eastAsia="Calibri" w:cs="Times New Roman"/>
          <w:szCs w:val="24"/>
          <w:lang w:val="en-GB"/>
        </w:rPr>
        <w:t>greater than 2000m. Additional details on the restriction data layers are mentioned</w:t>
      </w:r>
      <w:r w:rsidRPr="007F460F">
        <w:rPr>
          <w:rFonts w:eastAsia="Calibri" w:cs="Times New Roman"/>
          <w:szCs w:val="24"/>
          <w:lang w:val="en-GB"/>
        </w:rPr>
        <w:t xml:space="preserve"> in Table 1</w:t>
      </w:r>
      <w:r w:rsidRPr="00D5557F">
        <w:rPr>
          <w:sz w:val="22"/>
          <w:lang w:val="en-US"/>
        </w:rPr>
        <w:t xml:space="preserve">. </w:t>
      </w:r>
      <w:r>
        <w:rPr>
          <w:sz w:val="22"/>
          <w:lang w:val="en-US"/>
        </w:rPr>
        <w:t>All the data layers related to land use restriction mentioned in Table 1 were imported into GIS in order to prepare the land suitability map for wind energy on global level.</w:t>
      </w:r>
    </w:p>
    <w:p w14:paraId="27C7E188" w14:textId="77777777" w:rsidR="00A20D28" w:rsidRDefault="00A20D28" w:rsidP="009439E6">
      <w:pPr>
        <w:spacing w:after="120" w:line="312" w:lineRule="auto"/>
        <w:jc w:val="both"/>
        <w:rPr>
          <w:sz w:val="22"/>
          <w:shd w:val="clear" w:color="auto" w:fill="FFFFFF"/>
          <w:lang w:val="en-US"/>
        </w:rPr>
      </w:pPr>
    </w:p>
    <w:p w14:paraId="3A23E211" w14:textId="77777777" w:rsidR="00A20D28" w:rsidRDefault="00A20D28" w:rsidP="009439E6">
      <w:pPr>
        <w:spacing w:after="120" w:line="312" w:lineRule="auto"/>
        <w:jc w:val="both"/>
        <w:rPr>
          <w:sz w:val="22"/>
          <w:shd w:val="clear" w:color="auto" w:fill="FFFFFF"/>
          <w:lang w:val="en-US"/>
        </w:rPr>
      </w:pPr>
    </w:p>
    <w:p w14:paraId="0DA480D8" w14:textId="77777777" w:rsidR="00A20D28" w:rsidRDefault="00A20D28" w:rsidP="009439E6">
      <w:pPr>
        <w:spacing w:after="120" w:line="312" w:lineRule="auto"/>
        <w:jc w:val="both"/>
        <w:rPr>
          <w:sz w:val="22"/>
          <w:shd w:val="clear" w:color="auto" w:fill="FFFFFF"/>
          <w:lang w:val="en-US"/>
        </w:rPr>
      </w:pPr>
    </w:p>
    <w:p w14:paraId="7AEF89B3" w14:textId="77777777" w:rsidR="00A20D28" w:rsidRDefault="00A20D28" w:rsidP="009439E6">
      <w:pPr>
        <w:spacing w:after="120" w:line="312" w:lineRule="auto"/>
        <w:jc w:val="both"/>
        <w:rPr>
          <w:sz w:val="22"/>
          <w:shd w:val="clear" w:color="auto" w:fill="FFFFFF"/>
          <w:lang w:val="en-US"/>
        </w:rPr>
      </w:pPr>
    </w:p>
    <w:p w14:paraId="528290D0" w14:textId="77777777" w:rsidR="00A20D28" w:rsidRDefault="00A20D28" w:rsidP="009439E6">
      <w:pPr>
        <w:spacing w:after="120" w:line="312" w:lineRule="auto"/>
        <w:jc w:val="both"/>
        <w:rPr>
          <w:sz w:val="22"/>
          <w:shd w:val="clear" w:color="auto" w:fill="FFFFFF"/>
          <w:lang w:val="en-US"/>
        </w:rPr>
      </w:pPr>
    </w:p>
    <w:p w14:paraId="75FA4DE8" w14:textId="77777777" w:rsidR="00A20D28" w:rsidRPr="00E5097B" w:rsidRDefault="00A20D28" w:rsidP="009439E6">
      <w:pPr>
        <w:spacing w:after="120" w:line="312" w:lineRule="auto"/>
        <w:jc w:val="both"/>
        <w:rPr>
          <w:sz w:val="22"/>
          <w:shd w:val="clear" w:color="auto" w:fill="FFFFFF"/>
          <w:lang w:val="en-US"/>
        </w:rPr>
      </w:pPr>
    </w:p>
    <w:p w14:paraId="4276D735" w14:textId="77777777" w:rsidR="00A20D28" w:rsidRPr="00AC4AB5" w:rsidRDefault="00A20D28" w:rsidP="00A20D28">
      <w:pPr>
        <w:pStyle w:val="Heading1"/>
        <w:spacing w:before="0"/>
        <w:ind w:left="432" w:hanging="432"/>
        <w:rPr>
          <w:rFonts w:ascii="Times New Roman" w:eastAsia="Calibri" w:hAnsi="Times New Roman" w:cs="Times New Roman"/>
          <w:b/>
          <w:color w:val="auto"/>
          <w:sz w:val="26"/>
          <w:szCs w:val="26"/>
          <w:lang w:val="en-US"/>
        </w:rPr>
      </w:pPr>
      <w:r w:rsidRPr="00AC4AB5">
        <w:rPr>
          <w:rFonts w:ascii="Times New Roman" w:eastAsia="Calibri" w:hAnsi="Times New Roman" w:cs="Times New Roman"/>
          <w:b/>
          <w:color w:val="auto"/>
          <w:sz w:val="26"/>
          <w:szCs w:val="26"/>
          <w:lang w:val="en-US"/>
        </w:rPr>
        <w:lastRenderedPageBreak/>
        <w:t>References:</w:t>
      </w:r>
    </w:p>
    <w:p w14:paraId="642AE0FF" w14:textId="77777777" w:rsidR="00A20D28" w:rsidRPr="00A20D28" w:rsidRDefault="00A20D28" w:rsidP="00A20D28">
      <w:pPr>
        <w:spacing w:after="0"/>
        <w:rPr>
          <w:sz w:val="20"/>
          <w:szCs w:val="20"/>
          <w:lang w:val="en-GB"/>
        </w:rPr>
      </w:pPr>
    </w:p>
    <w:p w14:paraId="5C06812F" w14:textId="77777777" w:rsidR="00A20D28" w:rsidRPr="00A20D28" w:rsidRDefault="00A20D28" w:rsidP="00A20D28">
      <w:pPr>
        <w:pStyle w:val="Bibliography"/>
        <w:rPr>
          <w:rFonts w:cs="Times New Roman"/>
          <w:sz w:val="20"/>
          <w:szCs w:val="20"/>
          <w:lang w:val="en-US"/>
        </w:rPr>
      </w:pPr>
      <w:r w:rsidRPr="00A20D28">
        <w:rPr>
          <w:sz w:val="20"/>
          <w:szCs w:val="20"/>
          <w:lang w:val="en-GB"/>
        </w:rPr>
        <w:fldChar w:fldCharType="begin"/>
      </w:r>
      <w:r w:rsidRPr="00A20D28">
        <w:rPr>
          <w:sz w:val="20"/>
          <w:szCs w:val="20"/>
          <w:lang w:val="en-GB"/>
        </w:rPr>
        <w:instrText xml:space="preserve"> ADDIN ZOTERO_BIBL {"custom":[]} CSL_BIBLIOGRAPHY </w:instrText>
      </w:r>
      <w:r w:rsidRPr="00A20D28">
        <w:rPr>
          <w:sz w:val="20"/>
          <w:szCs w:val="20"/>
          <w:lang w:val="en-GB"/>
        </w:rPr>
        <w:fldChar w:fldCharType="separate"/>
      </w:r>
      <w:r w:rsidRPr="00A20D28">
        <w:rPr>
          <w:rFonts w:cs="Times New Roman"/>
          <w:sz w:val="20"/>
          <w:szCs w:val="20"/>
          <w:lang w:val="en-US"/>
        </w:rPr>
        <w:t>[1]</w:t>
      </w:r>
      <w:r w:rsidRPr="00A20D28">
        <w:rPr>
          <w:rFonts w:cs="Times New Roman"/>
          <w:sz w:val="20"/>
          <w:szCs w:val="20"/>
          <w:lang w:val="en-US"/>
        </w:rPr>
        <w:tab/>
        <w:t>“Energy : The Next Fifty Years - 17738498.pdf.” .</w:t>
      </w:r>
    </w:p>
    <w:p w14:paraId="0096CD28"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[2]</w:t>
      </w:r>
      <w:r w:rsidRPr="00A20D28">
        <w:rPr>
          <w:rFonts w:cs="Times New Roman"/>
          <w:sz w:val="20"/>
          <w:szCs w:val="20"/>
          <w:lang w:val="en-US"/>
        </w:rPr>
        <w:tab/>
        <w:t xml:space="preserve">R. Saidur, M. R. Islam, N. A. Rahim, and K. H. Solangi, “A review on global wind energy policy,” </w:t>
      </w:r>
      <w:r w:rsidRPr="00A20D28">
        <w:rPr>
          <w:rFonts w:cs="Times New Roman"/>
          <w:i/>
          <w:iCs/>
          <w:sz w:val="20"/>
          <w:szCs w:val="20"/>
          <w:lang w:val="en-US"/>
        </w:rPr>
        <w:t>Renew. Sustain. Energy Rev.</w:t>
      </w:r>
      <w:r w:rsidRPr="00A20D28">
        <w:rPr>
          <w:rFonts w:cs="Times New Roman"/>
          <w:sz w:val="20"/>
          <w:szCs w:val="20"/>
          <w:lang w:val="en-US"/>
        </w:rPr>
        <w:t>, vol. 14, no. 7, pp. 1744–1762, Sep. 2010.</w:t>
      </w:r>
    </w:p>
    <w:p w14:paraId="34492C48"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w:t>
      </w:r>
      <w:r w:rsidRPr="00A20D28">
        <w:rPr>
          <w:rFonts w:cs="Times New Roman"/>
          <w:sz w:val="20"/>
          <w:szCs w:val="20"/>
          <w:lang w:val="en-US"/>
        </w:rPr>
        <w:tab/>
        <w:t>“Key World Energy Statistics 2014 - keyworld2014.pdf.” .</w:t>
      </w:r>
    </w:p>
    <w:p w14:paraId="76349B33"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[4]</w:t>
      </w:r>
      <w:r w:rsidRPr="00A20D28">
        <w:rPr>
          <w:rFonts w:cs="Times New Roman"/>
          <w:sz w:val="20"/>
          <w:szCs w:val="20"/>
          <w:lang w:val="en-US"/>
        </w:rPr>
        <w:tab/>
        <w:t>“DOE-EIA-0484(2010) - EIA-0484-2010.pdf.” .</w:t>
      </w:r>
    </w:p>
    <w:p w14:paraId="5B32DF16"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[5]</w:t>
      </w:r>
      <w:r w:rsidRPr="00A20D28">
        <w:rPr>
          <w:rFonts w:cs="Times New Roman"/>
          <w:sz w:val="20"/>
          <w:szCs w:val="20"/>
          <w:lang w:val="en-US"/>
        </w:rPr>
        <w:tab/>
        <w:t>“GTR-UNEP-FS-BNEF2.pdf.” .</w:t>
      </w:r>
    </w:p>
    <w:p w14:paraId="49A53246"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[6]</w:t>
      </w:r>
      <w:r w:rsidRPr="00A20D28">
        <w:rPr>
          <w:rFonts w:cs="Times New Roman"/>
          <w:sz w:val="20"/>
          <w:szCs w:val="20"/>
          <w:lang w:val="en-US"/>
        </w:rPr>
        <w:tab/>
        <w:t>“International Energy Outlook 2013 - 0484(2013).pdf.” .</w:t>
      </w:r>
    </w:p>
    <w:p w14:paraId="618674C1"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[7]</w:t>
      </w:r>
      <w:r w:rsidRPr="00A20D28">
        <w:rPr>
          <w:rFonts w:cs="Times New Roman"/>
          <w:sz w:val="20"/>
          <w:szCs w:val="20"/>
          <w:lang w:val="en-US"/>
        </w:rPr>
        <w:tab/>
        <w:t xml:space="preserve">Y. Kumar, J. Ringenberg, S. S. Depuru, V. K. Devabhaktuni, J. W. Lee, E. Nikolaidis, B. Andersen, and A. Afjeh, “Wind energy: Trends and enabling technologies,” </w:t>
      </w:r>
      <w:r w:rsidRPr="00A20D28">
        <w:rPr>
          <w:rFonts w:cs="Times New Roman"/>
          <w:i/>
          <w:iCs/>
          <w:sz w:val="20"/>
          <w:szCs w:val="20"/>
          <w:lang w:val="en-US"/>
        </w:rPr>
        <w:t>Renew. Sustain. Energy Rev.</w:t>
      </w:r>
      <w:r w:rsidRPr="00A20D28">
        <w:rPr>
          <w:rFonts w:cs="Times New Roman"/>
          <w:sz w:val="20"/>
          <w:szCs w:val="20"/>
          <w:lang w:val="en-US"/>
        </w:rPr>
        <w:t>, vol. 53, pp. 209–224, Jan. 2016.</w:t>
      </w:r>
    </w:p>
    <w:p w14:paraId="7E39FB55"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[8]</w:t>
      </w:r>
      <w:r w:rsidRPr="00A20D28">
        <w:rPr>
          <w:rFonts w:cs="Times New Roman"/>
          <w:sz w:val="20"/>
          <w:szCs w:val="20"/>
          <w:lang w:val="en-US"/>
        </w:rPr>
        <w:tab/>
        <w:t>“Future Climate Change | Climate Change | US EPA.” [Online]. Available: http://www3.epa.gov/climatechange/science/future.html. [Accessed: 20-Oct-2015].</w:t>
      </w:r>
    </w:p>
    <w:p w14:paraId="116BE950"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[9]</w:t>
      </w:r>
      <w:r w:rsidRPr="00A20D28">
        <w:rPr>
          <w:rFonts w:cs="Times New Roman"/>
          <w:sz w:val="20"/>
          <w:szCs w:val="20"/>
          <w:lang w:val="en-US"/>
        </w:rPr>
        <w:tab/>
        <w:t>“Climate Change and Sea Level Rise.” [Online]. Available: http://www.climate.org/topics/sea-level/. [Accessed: 20-Oct-2015].</w:t>
      </w:r>
    </w:p>
    <w:p w14:paraId="73E2583C"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[10] “United Nations News Centre - World population projected to reach 9.6 billion by 2050 – UN report.” [Online]. Available: http://www.un.org/apps/news/story.asp?NewsID=45165#.ViXv0ytPXD9. [Accessed: 20-Oct-2015].</w:t>
      </w:r>
    </w:p>
    <w:p w14:paraId="4D5FDC26"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[11] “IEA - Energy access database.” [Online]. </w:t>
      </w:r>
      <w:r w:rsidRPr="00AC4AB5">
        <w:rPr>
          <w:rFonts w:cs="Times New Roman"/>
          <w:sz w:val="20"/>
          <w:szCs w:val="20"/>
          <w:lang w:val="fr-FR"/>
        </w:rPr>
        <w:t xml:space="preserve">Available: http://www.worldenergyoutlook.org/resources/energydevelopment/energyaccessdatabase/. </w:t>
      </w:r>
      <w:r w:rsidRPr="00A20D28">
        <w:rPr>
          <w:rFonts w:cs="Times New Roman"/>
          <w:sz w:val="20"/>
          <w:szCs w:val="20"/>
          <w:lang w:val="en-US"/>
        </w:rPr>
        <w:t>[Accessed: 20-Oct-2015].</w:t>
      </w:r>
    </w:p>
    <w:p w14:paraId="718D7C70"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[12] “Energy poverty - How to make moder energy access universal? - Special_Excerpt_of_WEO_2010.pdf.” .</w:t>
      </w:r>
    </w:p>
    <w:p w14:paraId="5BEBBE56"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[13] “Comparative Study on Rural Electrification Policies in Emerging Economies - rural_elect.pdf.” [Online]. Available: http://www.iea.org/publications/freepublications/publication/rural_elect.pdf. [Accessed: 18-Oct-2015].</w:t>
      </w:r>
    </w:p>
    <w:p w14:paraId="7DF1C793"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[14] B. Belabes, A. Youcefi, O. Guerri, M. Djamai, and A. Kaabeche, “Evaluation of wind energy potential and estimation of cost using wind energy turbines for electricity generation in north of Algeria,” </w:t>
      </w:r>
      <w:r w:rsidRPr="00A20D28">
        <w:rPr>
          <w:rFonts w:cs="Times New Roman"/>
          <w:i/>
          <w:iCs/>
          <w:sz w:val="20"/>
          <w:szCs w:val="20"/>
          <w:lang w:val="en-US"/>
        </w:rPr>
        <w:t>Renew. Sustain. Energy Rev.</w:t>
      </w:r>
      <w:r w:rsidRPr="00A20D28">
        <w:rPr>
          <w:rFonts w:cs="Times New Roman"/>
          <w:sz w:val="20"/>
          <w:szCs w:val="20"/>
          <w:lang w:val="en-US"/>
        </w:rPr>
        <w:t>, vol. 51, pp. 1245–1255, Nov. 2015.</w:t>
      </w:r>
    </w:p>
    <w:p w14:paraId="3F82468B"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[15] C. Ally, S. Bahadoorsingh, A. Singh, and C. Sharma, “A review and technical assessment integrating wind energy into an island power system,” </w:t>
      </w:r>
      <w:r w:rsidRPr="00A20D28">
        <w:rPr>
          <w:rFonts w:cs="Times New Roman"/>
          <w:i/>
          <w:iCs/>
          <w:sz w:val="20"/>
          <w:szCs w:val="20"/>
          <w:lang w:val="en-US"/>
        </w:rPr>
        <w:t>Renew. Sustain. Energy Rev.</w:t>
      </w:r>
      <w:r w:rsidRPr="00A20D28">
        <w:rPr>
          <w:rFonts w:cs="Times New Roman"/>
          <w:sz w:val="20"/>
          <w:szCs w:val="20"/>
          <w:lang w:val="en-US"/>
        </w:rPr>
        <w:t>, vol. 51, pp. 863–874, Nov. 2015.</w:t>
      </w:r>
    </w:p>
    <w:p w14:paraId="03D90AF5"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[16] P. Enevoldsen and B. K. Sovacool, “Examining the social acceptance of wind energy: Practical guidelines for onshore wind project development in France,” </w:t>
      </w:r>
      <w:r w:rsidRPr="00A20D28">
        <w:rPr>
          <w:rFonts w:cs="Times New Roman"/>
          <w:i/>
          <w:iCs/>
          <w:sz w:val="20"/>
          <w:szCs w:val="20"/>
          <w:lang w:val="en-US"/>
        </w:rPr>
        <w:t>Renew. Sustain. Energy Rev.</w:t>
      </w:r>
      <w:r w:rsidRPr="00A20D28">
        <w:rPr>
          <w:rFonts w:cs="Times New Roman"/>
          <w:sz w:val="20"/>
          <w:szCs w:val="20"/>
          <w:lang w:val="en-US"/>
        </w:rPr>
        <w:t>, vol. 53, pp. 178–184, Jan. 2016.</w:t>
      </w:r>
    </w:p>
    <w:p w14:paraId="3885FEEB"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[17] Y. A. Kaplan, “Overview of wind energy in the world and assessment of current wind energy policies in Turkey,” </w:t>
      </w:r>
      <w:r w:rsidRPr="00A20D28">
        <w:rPr>
          <w:rFonts w:cs="Times New Roman"/>
          <w:i/>
          <w:iCs/>
          <w:sz w:val="20"/>
          <w:szCs w:val="20"/>
          <w:lang w:val="en-US"/>
        </w:rPr>
        <w:t>Renew. Sustain. Energy Rev.</w:t>
      </w:r>
      <w:r w:rsidRPr="00A20D28">
        <w:rPr>
          <w:rFonts w:cs="Times New Roman"/>
          <w:sz w:val="20"/>
          <w:szCs w:val="20"/>
          <w:lang w:val="en-US"/>
        </w:rPr>
        <w:t>, vol. 43, pp. 562–568, Mar. 2015.</w:t>
      </w:r>
    </w:p>
    <w:p w14:paraId="079153C4"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[18] S. Wang and S. Wang, “Impacts of wind energy on environment: A review,” </w:t>
      </w:r>
      <w:r w:rsidRPr="00A20D28">
        <w:rPr>
          <w:rFonts w:cs="Times New Roman"/>
          <w:i/>
          <w:iCs/>
          <w:sz w:val="20"/>
          <w:szCs w:val="20"/>
          <w:lang w:val="en-US"/>
        </w:rPr>
        <w:t>Renew. Sustain. Energy Rev.</w:t>
      </w:r>
      <w:r w:rsidRPr="00A20D28">
        <w:rPr>
          <w:rFonts w:cs="Times New Roman"/>
          <w:sz w:val="20"/>
          <w:szCs w:val="20"/>
          <w:lang w:val="en-US"/>
        </w:rPr>
        <w:t>, vol. 49, pp. 437–443, Sep. 2015.</w:t>
      </w:r>
    </w:p>
    <w:p w14:paraId="6D474A3C"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lastRenderedPageBreak/>
        <w:t xml:space="preserve">[19] R. Saidur, N. A. Rahim, M. R. Islam, and K. H. Solangi, “Environmental impact of wind energy,” </w:t>
      </w:r>
      <w:r w:rsidRPr="00A20D28">
        <w:rPr>
          <w:rFonts w:cs="Times New Roman"/>
          <w:i/>
          <w:iCs/>
          <w:sz w:val="20"/>
          <w:szCs w:val="20"/>
          <w:lang w:val="en-US"/>
        </w:rPr>
        <w:t>Renew. Sustain. Energy Rev.</w:t>
      </w:r>
      <w:r w:rsidRPr="00A20D28">
        <w:rPr>
          <w:rFonts w:cs="Times New Roman"/>
          <w:sz w:val="20"/>
          <w:szCs w:val="20"/>
          <w:lang w:val="en-US"/>
        </w:rPr>
        <w:t>, vol. 15, no. 5, pp. 2423–2430, Jun. 2011.</w:t>
      </w:r>
    </w:p>
    <w:p w14:paraId="62F7DD4D"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[20] “GLOBAL STATISTICS - GWEC.” [Online]. Available: http://www.gwec.net/global-figures/graphs/. [Accessed: 19-Oct-2015].</w:t>
      </w:r>
    </w:p>
    <w:p w14:paraId="59F1B667"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[21] D. Latinopoulos and K. Kechagia, “A GIS-based multi-criteria evaluation for wind farm site selection. A regional scale application in Greece,” </w:t>
      </w:r>
      <w:r w:rsidRPr="00A20D28">
        <w:rPr>
          <w:rFonts w:cs="Times New Roman"/>
          <w:i/>
          <w:iCs/>
          <w:sz w:val="20"/>
          <w:szCs w:val="20"/>
          <w:lang w:val="en-US"/>
        </w:rPr>
        <w:t>Renew. Energy</w:t>
      </w:r>
      <w:r w:rsidRPr="00A20D28">
        <w:rPr>
          <w:rFonts w:cs="Times New Roman"/>
          <w:sz w:val="20"/>
          <w:szCs w:val="20"/>
          <w:lang w:val="en-US"/>
        </w:rPr>
        <w:t>, vol. 78, pp. 550–560, Jun. 2015.</w:t>
      </w:r>
    </w:p>
    <w:p w14:paraId="28EF68AF"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[22] S. Grassi, N. Chokani, and R. S. Abhari, “Large scale technical and economical assessment of wind energy potential with a GIS tool: Case study Iowa,” </w:t>
      </w:r>
      <w:r w:rsidRPr="00A20D28">
        <w:rPr>
          <w:rFonts w:cs="Times New Roman"/>
          <w:i/>
          <w:iCs/>
          <w:sz w:val="20"/>
          <w:szCs w:val="20"/>
          <w:lang w:val="en-US"/>
        </w:rPr>
        <w:t>Energy Policy</w:t>
      </w:r>
      <w:r w:rsidRPr="00A20D28">
        <w:rPr>
          <w:rFonts w:cs="Times New Roman"/>
          <w:sz w:val="20"/>
          <w:szCs w:val="20"/>
          <w:lang w:val="en-US"/>
        </w:rPr>
        <w:t>, vol. 45, pp. 73–85, Jun. 2012.</w:t>
      </w:r>
    </w:p>
    <w:p w14:paraId="038FBE32"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[23] S. H. Siyal, U. Mörtberg, D. Mentis, M. Welsch, I. Babelon, and M. Howells, “Wind energy assessment considering geographic and environmental restrictions in Sweden: A GIS-based approach,” </w:t>
      </w:r>
      <w:r w:rsidRPr="00A20D28">
        <w:rPr>
          <w:rFonts w:cs="Times New Roman"/>
          <w:i/>
          <w:iCs/>
          <w:sz w:val="20"/>
          <w:szCs w:val="20"/>
          <w:lang w:val="en-US"/>
        </w:rPr>
        <w:t>Energy</w:t>
      </w:r>
      <w:r w:rsidRPr="00A20D28">
        <w:rPr>
          <w:rFonts w:cs="Times New Roman"/>
          <w:sz w:val="20"/>
          <w:szCs w:val="20"/>
          <w:lang w:val="en-US"/>
        </w:rPr>
        <w:t>, vol. 83, pp. 447–461, Apr. 2015.</w:t>
      </w:r>
    </w:p>
    <w:p w14:paraId="3C80359E"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[24] A. R. Milbrandt, D. M. Heimiller, A. D. Perry, and C. B. Field, “Renewable energy potential on marginal lands in the United States,” </w:t>
      </w:r>
      <w:r w:rsidRPr="00A20D28">
        <w:rPr>
          <w:rFonts w:cs="Times New Roman"/>
          <w:i/>
          <w:iCs/>
          <w:sz w:val="20"/>
          <w:szCs w:val="20"/>
          <w:lang w:val="en-US"/>
        </w:rPr>
        <w:t>Renew. Sustain. Energy Rev.</w:t>
      </w:r>
      <w:r w:rsidRPr="00A20D28">
        <w:rPr>
          <w:rFonts w:cs="Times New Roman"/>
          <w:sz w:val="20"/>
          <w:szCs w:val="20"/>
          <w:lang w:val="en-US"/>
        </w:rPr>
        <w:t>, vol. 29, pp. 473–481, Jan. 2014.</w:t>
      </w:r>
    </w:p>
    <w:p w14:paraId="1D95C3BF"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[25] “Microsoft Word - Wind Paper_PNAS.doc - Lu_Wind_PNAS.pdf.” [Online]. Available: https://dash.harvard.edu/bitstream/handle/1/5029362/Lu_Wind_PNAS.pdf?sequence=2. [Accessed: 20-Oct-2015].</w:t>
      </w:r>
    </w:p>
    <w:p w14:paraId="15832598"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[26] “Evaluation of global wind power.” [Online]. Available: http://web.stanford.edu/group/efmh/winds/2004jd005462.pdf. [Accessed: 28-Jul-2015].</w:t>
      </w:r>
    </w:p>
    <w:p w14:paraId="6345FC54"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[27] S. B. Capps and C. S. Zender, “Estimated global ocean wind power potential from QuikSCAT observations, accounting for turbine characteristics and siting,” </w:t>
      </w:r>
      <w:r w:rsidRPr="00A20D28">
        <w:rPr>
          <w:rFonts w:cs="Times New Roman"/>
          <w:i/>
          <w:iCs/>
          <w:sz w:val="20"/>
          <w:szCs w:val="20"/>
          <w:lang w:val="en-US"/>
        </w:rPr>
        <w:t>J. Geophys. Res. Atmospheres</w:t>
      </w:r>
      <w:r w:rsidRPr="00A20D28">
        <w:rPr>
          <w:rFonts w:cs="Times New Roman"/>
          <w:sz w:val="20"/>
          <w:szCs w:val="20"/>
          <w:lang w:val="en-US"/>
        </w:rPr>
        <w:t>, vol. 115, no. D9, p. D09101, May 2010.</w:t>
      </w:r>
    </w:p>
    <w:p w14:paraId="0EEE00A1"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[28] C. de Castro, M. Mediavilla, L. J. Miguel, and F. Frechoso, “Global wind power potential: Physical and technological limits,” </w:t>
      </w:r>
      <w:r w:rsidRPr="00A20D28">
        <w:rPr>
          <w:rFonts w:cs="Times New Roman"/>
          <w:i/>
          <w:iCs/>
          <w:sz w:val="20"/>
          <w:szCs w:val="20"/>
          <w:lang w:val="en-US"/>
        </w:rPr>
        <w:t>Energy Policy</w:t>
      </w:r>
      <w:r w:rsidRPr="00A20D28">
        <w:rPr>
          <w:rFonts w:cs="Times New Roman"/>
          <w:sz w:val="20"/>
          <w:szCs w:val="20"/>
          <w:lang w:val="en-US"/>
        </w:rPr>
        <w:t>, vol. 39, no. 10, pp. 6677–6682, Oct. 2011.</w:t>
      </w:r>
    </w:p>
    <w:p w14:paraId="5B9AD95C"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[29] NASA, “Goddard Earth Sciences Data and Information Services Center,” 2015. [Online]. Available: http://disc.sci.gsfc.nasa.gov/mdisc/additional/tools. [Accessed: 06-Oct-2015].</w:t>
      </w:r>
    </w:p>
    <w:p w14:paraId="5E917317"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[30]</w:t>
      </w:r>
      <w:r w:rsidRPr="00A20D28">
        <w:rPr>
          <w:rFonts w:cs="Times New Roman"/>
          <w:sz w:val="20"/>
          <w:szCs w:val="20"/>
          <w:lang w:val="en-US"/>
        </w:rPr>
        <w:tab/>
        <w:t>“Designing an index for assessing wind energy potential - 1-s2.0-S0960148115003183-main.pdf.” .</w:t>
      </w:r>
    </w:p>
    <w:p w14:paraId="0CF91CF0"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[31] “TOOLS — GES DISC - Goddard Earth Sciences Data and Information Services Center.” [Online]. Available: http://disc.sci.gsfc.nasa.gov/mdisc/additional/tools. [Accessed: 16-Oct-2015].</w:t>
      </w:r>
    </w:p>
    <w:p w14:paraId="4BD7E606" w14:textId="77777777" w:rsidR="00A20D28" w:rsidRPr="00A20D28" w:rsidRDefault="00A20D28" w:rsidP="00A20D28">
      <w:pPr>
        <w:pStyle w:val="Bibliography"/>
        <w:rPr>
          <w:rFonts w:cs="Times New Roman"/>
          <w:sz w:val="20"/>
          <w:szCs w:val="20"/>
          <w:lang w:val="en-US"/>
        </w:rPr>
      </w:pPr>
      <w:r w:rsidRPr="00A20D28">
        <w:rPr>
          <w:rFonts w:cs="Times New Roman"/>
          <w:sz w:val="20"/>
          <w:szCs w:val="20"/>
        </w:rPr>
        <w:t xml:space="preserve">[32] “SRTM 90m Digital Elevation Database v4.1 | CGIAR-CSI.” </w:t>
      </w:r>
      <w:r w:rsidRPr="00A20D28">
        <w:rPr>
          <w:rFonts w:cs="Times New Roman"/>
          <w:sz w:val="20"/>
          <w:szCs w:val="20"/>
          <w:lang w:val="en-US"/>
        </w:rPr>
        <w:t>[Online]. Available: http://www.cgiar-csi.org/data/srtm-90m-digital-elevation-database-v4-1#download. [Accessed: 16-Oct-2015].</w:t>
      </w:r>
    </w:p>
    <w:p w14:paraId="34A04EEB"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[33] “GIS-Lab: VMap0 data in ESRI shape format.” [Online]. Available: http://gis-lab.info/qa/vmap0-eng.html. [Accessed: 16-Oct-2015].</w:t>
      </w:r>
    </w:p>
    <w:p w14:paraId="050065F1"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[34] “Protected Planet.” [Online]. Available: http://www.protectedplanet.net/. [Accessed: 16-Oct-2015].</w:t>
      </w:r>
    </w:p>
    <w:p w14:paraId="7B53767C"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[35] “Free Spatial Data | DIVA-GIS.” [Online]. Available: http://www.diva-gis.org/Data. [Accessed: 16-Oct-2015].</w:t>
      </w:r>
    </w:p>
    <w:p w14:paraId="4BF56C21"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[36] J. F. Manwell, J. G. McGowan, and A. L. Rogers, “Wind Characteristics and Resources,” in </w:t>
      </w:r>
      <w:r w:rsidRPr="00A20D28">
        <w:rPr>
          <w:rFonts w:cs="Times New Roman"/>
          <w:i/>
          <w:iCs/>
          <w:sz w:val="20"/>
          <w:szCs w:val="20"/>
          <w:lang w:val="en-US"/>
        </w:rPr>
        <w:t>Wind Energy Explained</w:t>
      </w:r>
      <w:r w:rsidRPr="00A20D28">
        <w:rPr>
          <w:rFonts w:cs="Times New Roman"/>
          <w:sz w:val="20"/>
          <w:szCs w:val="20"/>
          <w:lang w:val="en-US"/>
        </w:rPr>
        <w:t>, John Wiley &amp; Sons, Ltd, 2009, pp. 23–89.</w:t>
      </w:r>
    </w:p>
    <w:p w14:paraId="21421C36"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t xml:space="preserve">[37] D. Mentis, S. Hermann, M. Howells, M. Welsch, and S. H. Siyal, “Assessing the technical wind energy potential in Africa a GIS-based approach,” </w:t>
      </w:r>
      <w:r w:rsidRPr="00A20D28">
        <w:rPr>
          <w:rFonts w:cs="Times New Roman"/>
          <w:i/>
          <w:iCs/>
          <w:sz w:val="20"/>
          <w:szCs w:val="20"/>
          <w:lang w:val="en-US"/>
        </w:rPr>
        <w:t>Renew. Energy</w:t>
      </w:r>
      <w:r w:rsidRPr="00A20D28">
        <w:rPr>
          <w:rFonts w:cs="Times New Roman"/>
          <w:sz w:val="20"/>
          <w:szCs w:val="20"/>
          <w:lang w:val="en-US"/>
        </w:rPr>
        <w:t>, vol. 83, pp. 110–125, Nov. 2015.</w:t>
      </w:r>
    </w:p>
    <w:p w14:paraId="0040FE84" w14:textId="77777777" w:rsidR="00A20D28" w:rsidRPr="00A20D28" w:rsidRDefault="00A20D28" w:rsidP="00A20D28">
      <w:pPr>
        <w:pStyle w:val="Bibliography"/>
        <w:rPr>
          <w:rFonts w:cs="Times New Roman"/>
          <w:sz w:val="20"/>
          <w:szCs w:val="20"/>
          <w:lang w:val="en-US"/>
        </w:rPr>
      </w:pPr>
      <w:r w:rsidRPr="00A20D28">
        <w:rPr>
          <w:rFonts w:cs="Times New Roman"/>
          <w:sz w:val="20"/>
          <w:szCs w:val="20"/>
          <w:lang w:val="en-US"/>
        </w:rPr>
        <w:lastRenderedPageBreak/>
        <w:t>[38] F. V. Stefano Grassi, “Mapping of the global wind energy potential using open source GIS data,” 2015.</w:t>
      </w:r>
    </w:p>
    <w:p w14:paraId="5870B896" w14:textId="77777777" w:rsidR="00A20D28" w:rsidRPr="00AC4AB5" w:rsidRDefault="00A20D28" w:rsidP="00A20D28">
      <w:pPr>
        <w:pStyle w:val="Bibliography"/>
        <w:rPr>
          <w:rFonts w:cs="Times New Roman"/>
          <w:sz w:val="20"/>
          <w:szCs w:val="20"/>
          <w:lang w:val="en-US"/>
        </w:rPr>
      </w:pPr>
      <w:r w:rsidRPr="00A20D28">
        <w:rPr>
          <w:rFonts w:cs="Times New Roman"/>
          <w:sz w:val="20"/>
          <w:szCs w:val="20"/>
          <w:lang w:val="en-US"/>
        </w:rPr>
        <w:t xml:space="preserve">[39] “IRENA | Publications | Reports and papers | Estimating the Renewable Energy Potential in Africa: A GIS-based approach.” [Online]. Available: http://www.irena.org/menu/index.aspx?mnu=Subcat&amp;PriMenuID=36&amp;CatID=141&amp;SubcatID=440. </w:t>
      </w:r>
      <w:r w:rsidRPr="00AC4AB5">
        <w:rPr>
          <w:rFonts w:cs="Times New Roman"/>
          <w:sz w:val="20"/>
          <w:szCs w:val="20"/>
          <w:lang w:val="en-US"/>
        </w:rPr>
        <w:t>[Accessed: 26-Oct-2015].</w:t>
      </w:r>
    </w:p>
    <w:p w14:paraId="776639E4" w14:textId="77777777" w:rsidR="00A20D28" w:rsidRPr="00A20D28" w:rsidRDefault="00A20D28" w:rsidP="00A20D28">
      <w:pPr>
        <w:rPr>
          <w:sz w:val="20"/>
          <w:szCs w:val="20"/>
          <w:lang w:val="en-GB"/>
        </w:rPr>
      </w:pPr>
      <w:r w:rsidRPr="00A20D28">
        <w:rPr>
          <w:sz w:val="20"/>
          <w:szCs w:val="20"/>
          <w:lang w:val="en-GB"/>
        </w:rPr>
        <w:fldChar w:fldCharType="end"/>
      </w:r>
    </w:p>
    <w:p w14:paraId="45402A31" w14:textId="77777777" w:rsidR="003C36F6" w:rsidRPr="00A20D28" w:rsidRDefault="003C36F6" w:rsidP="009439E6">
      <w:pPr>
        <w:spacing w:after="120" w:line="312" w:lineRule="auto"/>
        <w:jc w:val="both"/>
        <w:rPr>
          <w:sz w:val="20"/>
          <w:szCs w:val="20"/>
          <w:lang w:val="en-US"/>
        </w:rPr>
      </w:pPr>
    </w:p>
    <w:p w14:paraId="499F6DF7" w14:textId="77777777" w:rsidR="0006534F" w:rsidRPr="00A20D28" w:rsidRDefault="0006534F" w:rsidP="009439E6">
      <w:pPr>
        <w:spacing w:after="120" w:line="312" w:lineRule="auto"/>
        <w:jc w:val="both"/>
        <w:rPr>
          <w:sz w:val="20"/>
          <w:szCs w:val="20"/>
          <w:lang w:val="en-US"/>
        </w:rPr>
      </w:pPr>
    </w:p>
    <w:sectPr w:rsidR="0006534F" w:rsidRPr="00A20D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85187"/>
    <w:multiLevelType w:val="multilevel"/>
    <w:tmpl w:val="EC169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092603C"/>
    <w:multiLevelType w:val="multilevel"/>
    <w:tmpl w:val="C4B624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333F6F"/>
    <w:multiLevelType w:val="multilevel"/>
    <w:tmpl w:val="88801632"/>
    <w:lvl w:ilvl="0">
      <w:start w:val="1"/>
      <w:numFmt w:val="upperRoman"/>
      <w:lvlText w:val="%1)"/>
      <w:lvlJc w:val="left"/>
      <w:pPr>
        <w:ind w:left="360" w:hanging="360"/>
      </w:pPr>
    </w:lvl>
    <w:lvl w:ilvl="1">
      <w:start w:val="1"/>
      <w:numFmt w:val="bullet"/>
      <w:pStyle w:val="Renetech1"/>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F6"/>
    <w:rsid w:val="0006534F"/>
    <w:rsid w:val="001505DD"/>
    <w:rsid w:val="0018025E"/>
    <w:rsid w:val="0032512E"/>
    <w:rsid w:val="003C36F6"/>
    <w:rsid w:val="004D4945"/>
    <w:rsid w:val="009439E6"/>
    <w:rsid w:val="00A20D28"/>
    <w:rsid w:val="00AC4AB5"/>
    <w:rsid w:val="00D274A1"/>
    <w:rsid w:val="00E8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E260"/>
  <w15:chartTrackingRefBased/>
  <w15:docId w15:val="{F90A255C-9392-4932-B574-7CE59497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F6"/>
    <w:rPr>
      <w:rFonts w:ascii="Times New Roman" w:hAnsi="Times New Roman"/>
      <w:sz w:val="24"/>
      <w:lang w:val="sv-SE"/>
    </w:rPr>
  </w:style>
  <w:style w:type="paragraph" w:styleId="Heading1">
    <w:name w:val="heading 1"/>
    <w:basedOn w:val="Normal"/>
    <w:next w:val="Normal"/>
    <w:link w:val="Heading1Char"/>
    <w:uiPriority w:val="9"/>
    <w:qFormat/>
    <w:rsid w:val="00325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36F6"/>
    <w:pPr>
      <w:keepNext/>
      <w:keepLines/>
      <w:spacing w:before="200" w:after="0" w:line="240" w:lineRule="auto"/>
      <w:ind w:left="720" w:hanging="720"/>
      <w:jc w:val="both"/>
      <w:outlineLvl w:val="2"/>
    </w:pPr>
    <w:rPr>
      <w:rFonts w:asciiTheme="majorHAnsi" w:eastAsiaTheme="majorEastAsia" w:hAnsiTheme="majorHAnsi" w:cstheme="majorBidi"/>
      <w:b/>
      <w:bCs/>
      <w:color w:val="323E4F" w:themeColor="text2" w:themeShade="BF"/>
      <w:sz w:val="26"/>
      <w:lang w:val="en-GB"/>
    </w:rPr>
  </w:style>
  <w:style w:type="paragraph" w:styleId="Heading4">
    <w:name w:val="heading 4"/>
    <w:basedOn w:val="Normal"/>
    <w:next w:val="Normal"/>
    <w:link w:val="Heading4Char"/>
    <w:unhideWhenUsed/>
    <w:qFormat/>
    <w:rsid w:val="003C36F6"/>
    <w:pPr>
      <w:keepNext/>
      <w:keepLines/>
      <w:spacing w:before="200" w:after="0" w:line="240" w:lineRule="auto"/>
      <w:ind w:left="864" w:hanging="864"/>
      <w:jc w:val="both"/>
      <w:outlineLvl w:val="3"/>
    </w:pPr>
    <w:rPr>
      <w:rFonts w:asciiTheme="majorHAnsi" w:eastAsiaTheme="majorEastAsia" w:hAnsiTheme="majorHAnsi" w:cstheme="majorBidi"/>
      <w:b/>
      <w:bCs/>
      <w:i/>
      <w:iCs/>
      <w:color w:val="5B9BD5" w:themeColor="accent1"/>
      <w:lang w:val="en-GB"/>
    </w:rPr>
  </w:style>
  <w:style w:type="paragraph" w:styleId="Heading5">
    <w:name w:val="heading 5"/>
    <w:basedOn w:val="Normal"/>
    <w:next w:val="Normal"/>
    <w:link w:val="Heading5Char"/>
    <w:uiPriority w:val="9"/>
    <w:semiHidden/>
    <w:unhideWhenUsed/>
    <w:qFormat/>
    <w:rsid w:val="003C36F6"/>
    <w:pPr>
      <w:keepNext/>
      <w:keepLines/>
      <w:spacing w:before="200" w:after="0" w:line="240" w:lineRule="auto"/>
      <w:ind w:left="1008" w:hanging="1008"/>
      <w:jc w:val="both"/>
      <w:outlineLvl w:val="4"/>
    </w:pPr>
    <w:rPr>
      <w:rFonts w:asciiTheme="majorHAnsi" w:eastAsiaTheme="majorEastAsia" w:hAnsiTheme="majorHAnsi" w:cstheme="majorBidi"/>
      <w:color w:val="1F4D78" w:themeColor="accent1" w:themeShade="7F"/>
      <w:lang w:val="en-GB"/>
    </w:rPr>
  </w:style>
  <w:style w:type="paragraph" w:styleId="Heading6">
    <w:name w:val="heading 6"/>
    <w:basedOn w:val="Normal"/>
    <w:next w:val="Normal"/>
    <w:link w:val="Heading6Char"/>
    <w:uiPriority w:val="9"/>
    <w:semiHidden/>
    <w:unhideWhenUsed/>
    <w:qFormat/>
    <w:rsid w:val="003C36F6"/>
    <w:pPr>
      <w:keepNext/>
      <w:keepLines/>
      <w:spacing w:before="200" w:after="0" w:line="240" w:lineRule="auto"/>
      <w:ind w:left="1152" w:hanging="1152"/>
      <w:jc w:val="both"/>
      <w:outlineLvl w:val="5"/>
    </w:pPr>
    <w:rPr>
      <w:rFonts w:asciiTheme="majorHAnsi" w:eastAsiaTheme="majorEastAsia" w:hAnsiTheme="majorHAnsi" w:cstheme="majorBidi"/>
      <w:i/>
      <w:iCs/>
      <w:color w:val="1F4D78" w:themeColor="accent1" w:themeShade="7F"/>
      <w:lang w:val="en-GB"/>
    </w:rPr>
  </w:style>
  <w:style w:type="paragraph" w:styleId="Heading8">
    <w:name w:val="heading 8"/>
    <w:basedOn w:val="Normal"/>
    <w:next w:val="Normal"/>
    <w:link w:val="Heading8Char"/>
    <w:uiPriority w:val="9"/>
    <w:semiHidden/>
    <w:unhideWhenUsed/>
    <w:qFormat/>
    <w:rsid w:val="003C36F6"/>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3C36F6"/>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ekor">
    <w:name w:val="Alekor"/>
    <w:basedOn w:val="Heading1"/>
    <w:qFormat/>
    <w:rsid w:val="0032512E"/>
    <w:pPr>
      <w:spacing w:after="120" w:line="312" w:lineRule="auto"/>
      <w:jc w:val="both"/>
    </w:pPr>
    <w:rPr>
      <w:rFonts w:ascii="Times New Roman" w:hAnsi="Times New Roman" w:cs="Times New Roman"/>
      <w:b/>
      <w:color w:val="000000" w:themeColor="text1"/>
    </w:rPr>
  </w:style>
  <w:style w:type="character" w:customStyle="1" w:styleId="Heading1Char">
    <w:name w:val="Heading 1 Char"/>
    <w:basedOn w:val="DefaultParagraphFont"/>
    <w:link w:val="Heading1"/>
    <w:uiPriority w:val="9"/>
    <w:rsid w:val="0032512E"/>
    <w:rPr>
      <w:rFonts w:asciiTheme="majorHAnsi" w:eastAsiaTheme="majorEastAsia" w:hAnsiTheme="majorHAnsi" w:cstheme="majorBidi"/>
      <w:color w:val="2E74B5" w:themeColor="accent1" w:themeShade="BF"/>
      <w:sz w:val="32"/>
      <w:szCs w:val="32"/>
    </w:rPr>
  </w:style>
  <w:style w:type="paragraph" w:customStyle="1" w:styleId="Alekor2">
    <w:name w:val="Alekor2"/>
    <w:basedOn w:val="Heading2"/>
    <w:qFormat/>
    <w:rsid w:val="0032512E"/>
    <w:rPr>
      <w:rFonts w:ascii="Times New Roman" w:hAnsi="Times New Roman"/>
      <w:b/>
      <w:color w:val="000000" w:themeColor="text1"/>
    </w:rPr>
  </w:style>
  <w:style w:type="character" w:customStyle="1" w:styleId="Heading2Char">
    <w:name w:val="Heading 2 Char"/>
    <w:basedOn w:val="DefaultParagraphFont"/>
    <w:link w:val="Heading2"/>
    <w:uiPriority w:val="9"/>
    <w:rsid w:val="0032512E"/>
    <w:rPr>
      <w:rFonts w:asciiTheme="majorHAnsi" w:eastAsiaTheme="majorEastAsia" w:hAnsiTheme="majorHAnsi" w:cstheme="majorBidi"/>
      <w:color w:val="2E74B5" w:themeColor="accent1" w:themeShade="BF"/>
      <w:sz w:val="26"/>
      <w:szCs w:val="26"/>
    </w:rPr>
  </w:style>
  <w:style w:type="paragraph" w:customStyle="1" w:styleId="Renetech1">
    <w:name w:val="Renetech1"/>
    <w:basedOn w:val="Heading1"/>
    <w:qFormat/>
    <w:rsid w:val="001505DD"/>
    <w:pPr>
      <w:numPr>
        <w:ilvl w:val="1"/>
        <w:numId w:val="2"/>
      </w:numPr>
      <w:spacing w:before="120" w:after="240" w:line="300" w:lineRule="auto"/>
    </w:pPr>
    <w:rPr>
      <w:rFonts w:ascii="Times New Roman" w:hAnsi="Times New Roman" w:cs="Times New Roman"/>
      <w:b/>
      <w:bCs/>
      <w:color w:val="002060"/>
      <w:sz w:val="28"/>
      <w:szCs w:val="24"/>
      <w:lang w:val="en-IE" w:eastAsia="en-IE"/>
    </w:rPr>
  </w:style>
  <w:style w:type="paragraph" w:customStyle="1" w:styleId="Renetech2">
    <w:name w:val="Renetech2"/>
    <w:basedOn w:val="Heading2"/>
    <w:qFormat/>
    <w:rsid w:val="00D274A1"/>
    <w:pPr>
      <w:spacing w:before="0" w:after="120" w:line="312" w:lineRule="auto"/>
      <w:jc w:val="both"/>
    </w:pPr>
    <w:rPr>
      <w:rFonts w:ascii="Times New Roman" w:hAnsi="Times New Roman"/>
      <w:color w:val="7030A0"/>
      <w:sz w:val="28"/>
    </w:rPr>
  </w:style>
  <w:style w:type="paragraph" w:customStyle="1" w:styleId="Renetechbasic">
    <w:name w:val="Renetechbasic"/>
    <w:basedOn w:val="Normal"/>
    <w:qFormat/>
    <w:rsid w:val="00D274A1"/>
    <w:pPr>
      <w:spacing w:after="120" w:line="312" w:lineRule="auto"/>
    </w:pPr>
    <w:rPr>
      <w:rFonts w:eastAsia="Constantia" w:cs="Times New Roman"/>
    </w:rPr>
  </w:style>
  <w:style w:type="character" w:customStyle="1" w:styleId="Heading3Char">
    <w:name w:val="Heading 3 Char"/>
    <w:basedOn w:val="DefaultParagraphFont"/>
    <w:link w:val="Heading3"/>
    <w:uiPriority w:val="9"/>
    <w:rsid w:val="003C36F6"/>
    <w:rPr>
      <w:rFonts w:asciiTheme="majorHAnsi" w:eastAsiaTheme="majorEastAsia" w:hAnsiTheme="majorHAnsi" w:cstheme="majorBidi"/>
      <w:b/>
      <w:bCs/>
      <w:color w:val="323E4F" w:themeColor="text2" w:themeShade="BF"/>
      <w:sz w:val="26"/>
      <w:lang w:val="en-GB"/>
    </w:rPr>
  </w:style>
  <w:style w:type="character" w:customStyle="1" w:styleId="Heading4Char">
    <w:name w:val="Heading 4 Char"/>
    <w:basedOn w:val="DefaultParagraphFont"/>
    <w:link w:val="Heading4"/>
    <w:rsid w:val="003C36F6"/>
    <w:rPr>
      <w:rFonts w:asciiTheme="majorHAnsi" w:eastAsiaTheme="majorEastAsia" w:hAnsiTheme="majorHAnsi" w:cstheme="majorBidi"/>
      <w:b/>
      <w:bCs/>
      <w:i/>
      <w:iCs/>
      <w:color w:val="5B9BD5" w:themeColor="accent1"/>
      <w:sz w:val="24"/>
      <w:lang w:val="en-GB"/>
    </w:rPr>
  </w:style>
  <w:style w:type="character" w:customStyle="1" w:styleId="Heading5Char">
    <w:name w:val="Heading 5 Char"/>
    <w:basedOn w:val="DefaultParagraphFont"/>
    <w:link w:val="Heading5"/>
    <w:uiPriority w:val="9"/>
    <w:semiHidden/>
    <w:rsid w:val="003C36F6"/>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semiHidden/>
    <w:rsid w:val="003C36F6"/>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3C36F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3C36F6"/>
    <w:rPr>
      <w:rFonts w:asciiTheme="majorHAnsi" w:eastAsiaTheme="majorEastAsia" w:hAnsiTheme="majorHAnsi" w:cstheme="majorBidi"/>
      <w:i/>
      <w:iCs/>
      <w:color w:val="404040" w:themeColor="text1" w:themeTint="BF"/>
      <w:sz w:val="20"/>
      <w:szCs w:val="20"/>
      <w:lang w:val="en-GB"/>
    </w:rPr>
  </w:style>
  <w:style w:type="character" w:styleId="CommentReference">
    <w:name w:val="annotation reference"/>
    <w:basedOn w:val="DefaultParagraphFont"/>
    <w:uiPriority w:val="99"/>
    <w:semiHidden/>
    <w:unhideWhenUsed/>
    <w:rsid w:val="003C36F6"/>
    <w:rPr>
      <w:sz w:val="16"/>
      <w:szCs w:val="16"/>
    </w:rPr>
  </w:style>
  <w:style w:type="paragraph" w:styleId="CommentText">
    <w:name w:val="annotation text"/>
    <w:basedOn w:val="Normal"/>
    <w:link w:val="CommentTextChar"/>
    <w:uiPriority w:val="99"/>
    <w:semiHidden/>
    <w:unhideWhenUsed/>
    <w:rsid w:val="003C36F6"/>
    <w:pPr>
      <w:spacing w:line="240" w:lineRule="auto"/>
    </w:pPr>
    <w:rPr>
      <w:sz w:val="20"/>
      <w:szCs w:val="20"/>
    </w:rPr>
  </w:style>
  <w:style w:type="character" w:customStyle="1" w:styleId="CommentTextChar">
    <w:name w:val="Comment Text Char"/>
    <w:basedOn w:val="DefaultParagraphFont"/>
    <w:link w:val="CommentText"/>
    <w:uiPriority w:val="99"/>
    <w:semiHidden/>
    <w:rsid w:val="003C36F6"/>
    <w:rPr>
      <w:rFonts w:ascii="Times New Roman" w:hAnsi="Times New Roman"/>
      <w:sz w:val="20"/>
      <w:szCs w:val="20"/>
      <w:lang w:val="sv-SE"/>
    </w:rPr>
  </w:style>
  <w:style w:type="paragraph" w:styleId="Caption">
    <w:name w:val="caption"/>
    <w:basedOn w:val="Normal"/>
    <w:next w:val="Normal"/>
    <w:uiPriority w:val="35"/>
    <w:unhideWhenUsed/>
    <w:qFormat/>
    <w:rsid w:val="003C36F6"/>
    <w:pPr>
      <w:spacing w:after="200" w:line="240" w:lineRule="auto"/>
    </w:pPr>
    <w:rPr>
      <w:b/>
      <w:bCs/>
      <w:color w:val="5B9BD5" w:themeColor="accent1"/>
      <w:sz w:val="18"/>
      <w:szCs w:val="18"/>
    </w:rPr>
  </w:style>
  <w:style w:type="table" w:styleId="MediumGrid1-Accent3">
    <w:name w:val="Medium Grid 1 Accent 3"/>
    <w:basedOn w:val="TableNormal"/>
    <w:uiPriority w:val="67"/>
    <w:rsid w:val="003C36F6"/>
    <w:pPr>
      <w:spacing w:after="0" w:line="240" w:lineRule="auto"/>
    </w:pPr>
    <w:rPr>
      <w:lang w:val="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styleId="BalloonText">
    <w:name w:val="Balloon Text"/>
    <w:basedOn w:val="Normal"/>
    <w:link w:val="BalloonTextChar"/>
    <w:uiPriority w:val="99"/>
    <w:semiHidden/>
    <w:unhideWhenUsed/>
    <w:rsid w:val="00180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25E"/>
    <w:rPr>
      <w:rFonts w:ascii="Segoe UI" w:hAnsi="Segoe UI" w:cs="Segoe UI"/>
      <w:sz w:val="18"/>
      <w:szCs w:val="18"/>
      <w:lang w:val="sv-SE"/>
    </w:rPr>
  </w:style>
  <w:style w:type="paragraph" w:styleId="Bibliography">
    <w:name w:val="Bibliography"/>
    <w:basedOn w:val="Normal"/>
    <w:next w:val="Normal"/>
    <w:uiPriority w:val="37"/>
    <w:semiHidden/>
    <w:unhideWhenUsed/>
    <w:rsid w:val="00A2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4123</Words>
  <Characters>23502</Characters>
  <Application>Microsoft Office Word</Application>
  <DocSecurity>0</DocSecurity>
  <Lines>195</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Korkovelos</dc:creator>
  <cp:keywords/>
  <dc:description/>
  <cp:lastModifiedBy>Alexandros Korkovelos</cp:lastModifiedBy>
  <cp:revision>3</cp:revision>
  <dcterms:created xsi:type="dcterms:W3CDTF">2016-02-24T16:06:00Z</dcterms:created>
  <dcterms:modified xsi:type="dcterms:W3CDTF">2018-01-23T16:25:00Z</dcterms:modified>
</cp:coreProperties>
</file>