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8A7EF9C" w14:paraId="2C078E63" wp14:textId="364BFC1A">
      <w:pPr>
        <w:pStyle w:val="Heading1"/>
      </w:pPr>
      <w:bookmarkStart w:name="_GoBack" w:id="0"/>
      <w:bookmarkEnd w:id="0"/>
      <w:r w:rsidR="7E67C9FC">
        <w:rPr/>
        <w:t>Introduction</w:t>
      </w:r>
    </w:p>
    <w:p w:rsidR="68A7EF9C" w:rsidP="1C6EF2ED" w:rsidRDefault="68A7EF9C" w14:paraId="4B473116" w14:textId="61DDEBD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C6EF2ED" w:rsidR="6F147F8D">
        <w:rPr>
          <w:rFonts w:ascii="Calibri" w:hAnsi="Calibri" w:eastAsia="Calibri" w:cs="Calibri"/>
          <w:b w:val="0"/>
          <w:bCs w:val="0"/>
          <w:i w:val="0"/>
          <w:iCs w:val="0"/>
          <w:caps w:val="0"/>
          <w:smallCaps w:val="0"/>
          <w:noProof w:val="0"/>
          <w:color w:val="000000" w:themeColor="text1" w:themeTint="FF" w:themeShade="FF"/>
          <w:sz w:val="22"/>
          <w:szCs w:val="22"/>
          <w:lang w:val="en-US"/>
        </w:rPr>
        <w:t>As global change continues to increase impacts on global ecosystems, carbon emissions reinforce climate</w:t>
      </w:r>
      <w:r w:rsidRPr="1C6EF2ED" w:rsidR="37359D8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change </w:t>
      </w:r>
      <w:r w:rsidRPr="1C6EF2ED" w:rsidR="23F2912B">
        <w:rPr>
          <w:rFonts w:ascii="Calibri" w:hAnsi="Calibri" w:eastAsia="Calibri" w:cs="Calibri"/>
          <w:b w:val="0"/>
          <w:bCs w:val="0"/>
          <w:i w:val="0"/>
          <w:iCs w:val="0"/>
          <w:caps w:val="0"/>
          <w:smallCaps w:val="0"/>
          <w:noProof w:val="0"/>
          <w:color w:val="000000" w:themeColor="text1" w:themeTint="FF" w:themeShade="FF"/>
          <w:sz w:val="22"/>
          <w:szCs w:val="22"/>
          <w:lang w:val="en-US"/>
        </w:rPr>
        <w:t>negatively impacting</w:t>
      </w:r>
      <w:r w:rsidRPr="1C6EF2ED" w:rsidR="37359D8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biodiversity and ecosystem services. </w:t>
      </w:r>
      <w:r w:rsidRPr="1C6EF2ED" w:rsidR="169D2B3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Land degradation accounts for </w:t>
      </w:r>
      <w:r w:rsidRPr="1C6EF2ED" w:rsidR="42D437BF">
        <w:rPr>
          <w:rFonts w:ascii="Calibri" w:hAnsi="Calibri" w:eastAsia="Calibri" w:cs="Calibri"/>
          <w:b w:val="0"/>
          <w:bCs w:val="0"/>
          <w:i w:val="0"/>
          <w:iCs w:val="0"/>
          <w:caps w:val="0"/>
          <w:smallCaps w:val="0"/>
          <w:noProof w:val="0"/>
          <w:color w:val="000000" w:themeColor="text1" w:themeTint="FF" w:themeShade="FF"/>
          <w:sz w:val="22"/>
          <w:szCs w:val="22"/>
          <w:lang w:val="en-US"/>
        </w:rPr>
        <w:t>1</w:t>
      </w:r>
      <w:r w:rsidRPr="1C6EF2ED" w:rsidR="3D20CD51">
        <w:rPr>
          <w:rFonts w:ascii="Calibri" w:hAnsi="Calibri" w:eastAsia="Calibri" w:cs="Calibri"/>
          <w:b w:val="0"/>
          <w:bCs w:val="0"/>
          <w:i w:val="0"/>
          <w:iCs w:val="0"/>
          <w:caps w:val="0"/>
          <w:smallCaps w:val="0"/>
          <w:noProof w:val="0"/>
          <w:color w:val="000000" w:themeColor="text1" w:themeTint="FF" w:themeShade="FF"/>
          <w:sz w:val="22"/>
          <w:szCs w:val="22"/>
          <w:lang w:val="en-US"/>
        </w:rPr>
        <w:t>5</w:t>
      </w:r>
      <w:r w:rsidRPr="1C6EF2ED" w:rsidR="0219E58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1C6EF2ED" w:rsidR="3D20CD51">
        <w:rPr>
          <w:rFonts w:ascii="Calibri" w:hAnsi="Calibri" w:eastAsia="Calibri" w:cs="Calibri"/>
          <w:b w:val="0"/>
          <w:bCs w:val="0"/>
          <w:i w:val="0"/>
          <w:iCs w:val="0"/>
          <w:caps w:val="0"/>
          <w:smallCaps w:val="0"/>
          <w:noProof w:val="0"/>
          <w:color w:val="000000" w:themeColor="text1" w:themeTint="FF" w:themeShade="FF"/>
          <w:sz w:val="22"/>
          <w:szCs w:val="22"/>
          <w:lang w:val="en-US"/>
        </w:rPr>
        <w:t>20</w:t>
      </w:r>
      <w:r w:rsidRPr="1C6EF2ED" w:rsidR="169D2B35">
        <w:rPr>
          <w:rFonts w:ascii="Calibri" w:hAnsi="Calibri" w:eastAsia="Calibri" w:cs="Calibri"/>
          <w:b w:val="0"/>
          <w:bCs w:val="0"/>
          <w:i w:val="0"/>
          <w:iCs w:val="0"/>
          <w:caps w:val="0"/>
          <w:smallCaps w:val="0"/>
          <w:noProof w:val="0"/>
          <w:color w:val="000000" w:themeColor="text1" w:themeTint="FF" w:themeShade="FF"/>
          <w:sz w:val="22"/>
          <w:szCs w:val="22"/>
          <w:lang w:val="en-US"/>
        </w:rPr>
        <w:t>%</w:t>
      </w:r>
      <w:r w:rsidRPr="1C6EF2ED" w:rsidR="7E11F5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C6EF2ED" w:rsidR="169D2B35">
        <w:rPr>
          <w:rFonts w:ascii="Calibri" w:hAnsi="Calibri" w:eastAsia="Calibri" w:cs="Calibri"/>
          <w:b w:val="0"/>
          <w:bCs w:val="0"/>
          <w:i w:val="0"/>
          <w:iCs w:val="0"/>
          <w:caps w:val="0"/>
          <w:smallCaps w:val="0"/>
          <w:noProof w:val="0"/>
          <w:color w:val="000000" w:themeColor="text1" w:themeTint="FF" w:themeShade="FF"/>
          <w:sz w:val="22"/>
          <w:szCs w:val="22"/>
          <w:lang w:val="en-US"/>
        </w:rPr>
        <w:t>of</w:t>
      </w:r>
      <w:r w:rsidRPr="1C6EF2ED" w:rsidR="7A598A9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C6EF2ED" w:rsidR="169D2B35">
        <w:rPr>
          <w:rFonts w:ascii="Calibri" w:hAnsi="Calibri" w:eastAsia="Calibri" w:cs="Calibri"/>
          <w:b w:val="0"/>
          <w:bCs w:val="0"/>
          <w:i w:val="0"/>
          <w:iCs w:val="0"/>
          <w:caps w:val="0"/>
          <w:smallCaps w:val="0"/>
          <w:noProof w:val="0"/>
          <w:color w:val="000000" w:themeColor="text1" w:themeTint="FF" w:themeShade="FF"/>
          <w:sz w:val="22"/>
          <w:szCs w:val="22"/>
          <w:lang w:val="en-US"/>
        </w:rPr>
        <w:t>all</w:t>
      </w:r>
      <w:r w:rsidRPr="1C6EF2ED" w:rsidR="637AF9B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C6EF2ED" w:rsidR="169D2B35">
        <w:rPr>
          <w:rFonts w:ascii="Calibri" w:hAnsi="Calibri" w:eastAsia="Calibri" w:cs="Calibri"/>
          <w:b w:val="0"/>
          <w:bCs w:val="0"/>
          <w:i w:val="0"/>
          <w:iCs w:val="0"/>
          <w:caps w:val="0"/>
          <w:smallCaps w:val="0"/>
          <w:noProof w:val="0"/>
          <w:color w:val="000000" w:themeColor="text1" w:themeTint="FF" w:themeShade="FF"/>
          <w:sz w:val="22"/>
          <w:szCs w:val="22"/>
          <w:lang w:val="en-US"/>
        </w:rPr>
        <w:t>anthropogenic</w:t>
      </w:r>
      <w:r w:rsidRPr="1C6EF2ED" w:rsidR="6B145E9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C6EF2ED" w:rsidR="44343725">
        <w:rPr>
          <w:rFonts w:ascii="Calibri" w:hAnsi="Calibri" w:eastAsia="Calibri" w:cs="Calibri"/>
          <w:b w:val="0"/>
          <w:bCs w:val="0"/>
          <w:i w:val="0"/>
          <w:iCs w:val="0"/>
          <w:caps w:val="0"/>
          <w:smallCaps w:val="0"/>
          <w:noProof w:val="0"/>
          <w:color w:val="000000" w:themeColor="text1" w:themeTint="FF" w:themeShade="FF"/>
          <w:sz w:val="22"/>
          <w:szCs w:val="22"/>
          <w:lang w:val="en-US"/>
        </w:rPr>
        <w:t>GHG</w:t>
      </w:r>
      <w:r w:rsidRPr="1C6EF2ED" w:rsidR="3D6106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C6EF2ED" w:rsidR="44343725">
        <w:rPr>
          <w:rFonts w:ascii="Calibri" w:hAnsi="Calibri" w:eastAsia="Calibri" w:cs="Calibri"/>
          <w:b w:val="0"/>
          <w:bCs w:val="0"/>
          <w:i w:val="0"/>
          <w:iCs w:val="0"/>
          <w:caps w:val="0"/>
          <w:smallCaps w:val="0"/>
          <w:noProof w:val="0"/>
          <w:color w:val="000000" w:themeColor="text1" w:themeTint="FF" w:themeShade="FF"/>
          <w:sz w:val="22"/>
          <w:szCs w:val="22"/>
          <w:lang w:val="en-US"/>
        </w:rPr>
        <w:t>emissions</w:t>
      </w:r>
      <w:r w:rsidRPr="1C6EF2ED" w:rsidR="795C1AC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C6EF2ED" w:rsidR="44343725">
        <w:rPr>
          <w:rFonts w:ascii="Calibri" w:hAnsi="Calibri" w:eastAsia="Calibri" w:cs="Calibri"/>
          <w:b w:val="0"/>
          <w:bCs w:val="0"/>
          <w:i w:val="0"/>
          <w:iCs w:val="0"/>
          <w:caps w:val="0"/>
          <w:smallCaps w:val="0"/>
          <w:noProof w:val="0"/>
          <w:color w:val="000000" w:themeColor="text1" w:themeTint="FF" w:themeShade="FF"/>
          <w:sz w:val="22"/>
          <w:szCs w:val="22"/>
          <w:lang w:val="en-US"/>
        </w:rPr>
        <w:t>(</w:t>
      </w:r>
      <w:r w:rsidRPr="1C6EF2ED" w:rsidR="0BFDEEDD">
        <w:rPr>
          <w:rFonts w:ascii="Calibri" w:hAnsi="Calibri" w:eastAsia="Calibri" w:cs="Calibri"/>
          <w:b w:val="0"/>
          <w:bCs w:val="0"/>
          <w:i w:val="0"/>
          <w:iCs w:val="0"/>
          <w:caps w:val="0"/>
          <w:smallCaps w:val="0"/>
          <w:noProof w:val="0"/>
          <w:color w:val="000000" w:themeColor="text1" w:themeTint="FF" w:themeShade="FF"/>
          <w:sz w:val="22"/>
          <w:szCs w:val="22"/>
          <w:lang w:val="en-US"/>
        </w:rPr>
        <w:t>van</w:t>
      </w:r>
      <w:r w:rsidRPr="1C6EF2ED" w:rsidR="5AE03A4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C6EF2ED" w:rsidR="0BFDEEDD">
        <w:rPr>
          <w:rFonts w:ascii="Calibri" w:hAnsi="Calibri" w:eastAsia="Calibri" w:cs="Calibri"/>
          <w:b w:val="0"/>
          <w:bCs w:val="0"/>
          <w:i w:val="0"/>
          <w:iCs w:val="0"/>
          <w:caps w:val="0"/>
          <w:smallCaps w:val="0"/>
          <w:noProof w:val="0"/>
          <w:color w:val="000000" w:themeColor="text1" w:themeTint="FF" w:themeShade="FF"/>
          <w:sz w:val="22"/>
          <w:szCs w:val="22"/>
          <w:lang w:val="en-US"/>
        </w:rPr>
        <w:t>der</w:t>
      </w:r>
      <w:r w:rsidRPr="1C6EF2ED" w:rsidR="455DB83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C6EF2ED" w:rsidR="0BFDEEDD">
        <w:rPr>
          <w:rFonts w:ascii="Calibri" w:hAnsi="Calibri" w:eastAsia="Calibri" w:cs="Calibri"/>
          <w:b w:val="0"/>
          <w:bCs w:val="0"/>
          <w:i w:val="0"/>
          <w:iCs w:val="0"/>
          <w:caps w:val="0"/>
          <w:smallCaps w:val="0"/>
          <w:noProof w:val="0"/>
          <w:color w:val="000000" w:themeColor="text1" w:themeTint="FF" w:themeShade="FF"/>
          <w:sz w:val="22"/>
          <w:szCs w:val="22"/>
          <w:lang w:val="en-US"/>
        </w:rPr>
        <w:t>Werf et</w:t>
      </w:r>
      <w:r w:rsidRPr="1C6EF2ED" w:rsidR="7283C0B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C6EF2ED" w:rsidR="0BFDEEDD">
        <w:rPr>
          <w:rFonts w:ascii="Calibri" w:hAnsi="Calibri" w:eastAsia="Calibri" w:cs="Calibri"/>
          <w:b w:val="0"/>
          <w:bCs w:val="0"/>
          <w:i w:val="0"/>
          <w:iCs w:val="0"/>
          <w:caps w:val="0"/>
          <w:smallCaps w:val="0"/>
          <w:noProof w:val="0"/>
          <w:color w:val="000000" w:themeColor="text1" w:themeTint="FF" w:themeShade="FF"/>
          <w:sz w:val="22"/>
          <w:szCs w:val="22"/>
          <w:lang w:val="en-US"/>
        </w:rPr>
        <w:t>al.,</w:t>
      </w:r>
      <w:r w:rsidRPr="1C6EF2ED" w:rsidR="767B5E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C6EF2ED" w:rsidR="0BFDEEDD">
        <w:rPr>
          <w:rFonts w:ascii="Calibri" w:hAnsi="Calibri" w:eastAsia="Calibri" w:cs="Calibri"/>
          <w:b w:val="0"/>
          <w:bCs w:val="0"/>
          <w:i w:val="0"/>
          <w:iCs w:val="0"/>
          <w:caps w:val="0"/>
          <w:smallCaps w:val="0"/>
          <w:noProof w:val="0"/>
          <w:color w:val="000000" w:themeColor="text1" w:themeTint="FF" w:themeShade="FF"/>
          <w:sz w:val="22"/>
          <w:szCs w:val="22"/>
          <w:lang w:val="en-US"/>
        </w:rPr>
        <w:t>2009;</w:t>
      </w:r>
      <w:r w:rsidRPr="1C6EF2ED" w:rsidR="159D5CF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C6EF2ED" w:rsidR="6CB7B43F">
        <w:rPr>
          <w:rFonts w:ascii="Calibri" w:hAnsi="Calibri" w:eastAsia="Calibri" w:cs="Calibri"/>
          <w:b w:val="0"/>
          <w:bCs w:val="0"/>
          <w:i w:val="0"/>
          <w:iCs w:val="0"/>
          <w:caps w:val="0"/>
          <w:smallCaps w:val="0"/>
          <w:noProof w:val="0"/>
          <w:color w:val="000000" w:themeColor="text1" w:themeTint="FF" w:themeShade="FF"/>
          <w:sz w:val="22"/>
          <w:szCs w:val="22"/>
          <w:lang w:val="en-US"/>
        </w:rPr>
        <w:t>Keith</w:t>
      </w:r>
      <w:r w:rsidRPr="1C6EF2ED" w:rsidR="56A9A0F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C6EF2ED" w:rsidR="6CB7B43F">
        <w:rPr>
          <w:rFonts w:ascii="Calibri" w:hAnsi="Calibri" w:eastAsia="Calibri" w:cs="Calibri"/>
          <w:b w:val="0"/>
          <w:bCs w:val="0"/>
          <w:i w:val="0"/>
          <w:iCs w:val="0"/>
          <w:caps w:val="0"/>
          <w:smallCaps w:val="0"/>
          <w:noProof w:val="0"/>
          <w:color w:val="000000" w:themeColor="text1" w:themeTint="FF" w:themeShade="FF"/>
          <w:sz w:val="22"/>
          <w:szCs w:val="22"/>
          <w:lang w:val="en-US"/>
        </w:rPr>
        <w:t>et</w:t>
      </w:r>
      <w:r w:rsidRPr="1C6EF2ED" w:rsidR="6E1D3BB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C6EF2ED" w:rsidR="6CB7B43F">
        <w:rPr>
          <w:rFonts w:ascii="Calibri" w:hAnsi="Calibri" w:eastAsia="Calibri" w:cs="Calibri"/>
          <w:b w:val="0"/>
          <w:bCs w:val="0"/>
          <w:i w:val="0"/>
          <w:iCs w:val="0"/>
          <w:caps w:val="0"/>
          <w:smallCaps w:val="0"/>
          <w:noProof w:val="0"/>
          <w:color w:val="000000" w:themeColor="text1" w:themeTint="FF" w:themeShade="FF"/>
          <w:sz w:val="22"/>
          <w:szCs w:val="22"/>
          <w:lang w:val="en-US"/>
        </w:rPr>
        <w:t>al.,</w:t>
      </w:r>
      <w:r w:rsidRPr="1C6EF2ED" w:rsidR="0504419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C6EF2ED" w:rsidR="6CB7B43F">
        <w:rPr>
          <w:rFonts w:ascii="Calibri" w:hAnsi="Calibri" w:eastAsia="Calibri" w:cs="Calibri"/>
          <w:b w:val="0"/>
          <w:bCs w:val="0"/>
          <w:i w:val="0"/>
          <w:iCs w:val="0"/>
          <w:caps w:val="0"/>
          <w:smallCaps w:val="0"/>
          <w:noProof w:val="0"/>
          <w:color w:val="000000" w:themeColor="text1" w:themeTint="FF" w:themeShade="FF"/>
          <w:sz w:val="22"/>
          <w:szCs w:val="22"/>
          <w:lang w:val="en-US"/>
        </w:rPr>
        <w:t>2009</w:t>
      </w:r>
      <w:r w:rsidRPr="1C6EF2ED" w:rsidR="44343725">
        <w:rPr>
          <w:rFonts w:ascii="Calibri" w:hAnsi="Calibri" w:eastAsia="Calibri" w:cs="Calibri"/>
          <w:b w:val="0"/>
          <w:bCs w:val="0"/>
          <w:i w:val="0"/>
          <w:iCs w:val="0"/>
          <w:caps w:val="0"/>
          <w:smallCaps w:val="0"/>
          <w:noProof w:val="0"/>
          <w:color w:val="000000" w:themeColor="text1" w:themeTint="FF" w:themeShade="FF"/>
          <w:sz w:val="22"/>
          <w:szCs w:val="22"/>
          <w:lang w:val="en-US"/>
        </w:rPr>
        <w:t>)</w:t>
      </w:r>
      <w:r w:rsidRPr="1C6EF2ED" w:rsidR="1E9B833E">
        <w:rPr>
          <w:rFonts w:ascii="Calibri" w:hAnsi="Calibri" w:eastAsia="Calibri" w:cs="Calibri"/>
          <w:b w:val="0"/>
          <w:bCs w:val="0"/>
          <w:i w:val="0"/>
          <w:iCs w:val="0"/>
          <w:caps w:val="0"/>
          <w:smallCaps w:val="0"/>
          <w:noProof w:val="0"/>
          <w:color w:val="000000" w:themeColor="text1" w:themeTint="FF" w:themeShade="FF"/>
          <w:sz w:val="22"/>
          <w:szCs w:val="22"/>
          <w:lang w:val="en-US"/>
        </w:rPr>
        <w:t>.</w:t>
      </w:r>
      <w:r w:rsidRPr="1C6EF2ED" w:rsidR="37359D8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C6EF2ED" w:rsidR="407527D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Land </w:t>
      </w:r>
      <w:proofErr w:type="spellStart"/>
      <w:r w:rsidRPr="1C6EF2ED" w:rsidR="407527D7">
        <w:rPr>
          <w:rFonts w:ascii="Calibri" w:hAnsi="Calibri" w:eastAsia="Calibri" w:cs="Calibri"/>
          <w:b w:val="0"/>
          <w:bCs w:val="0"/>
          <w:i w:val="0"/>
          <w:iCs w:val="0"/>
          <w:caps w:val="0"/>
          <w:smallCaps w:val="0"/>
          <w:noProof w:val="0"/>
          <w:color w:val="000000" w:themeColor="text1" w:themeTint="FF" w:themeShade="FF"/>
          <w:sz w:val="22"/>
          <w:szCs w:val="22"/>
          <w:lang w:val="en-US"/>
        </w:rPr>
        <w:t>protecion</w:t>
      </w:r>
      <w:proofErr w:type="spellEnd"/>
      <w:r w:rsidRPr="1C6EF2ED" w:rsidR="7897BD9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can support cl</w:t>
      </w:r>
      <w:r w:rsidRPr="1C6EF2ED" w:rsidR="7DD50A9F">
        <w:rPr>
          <w:rFonts w:ascii="Calibri" w:hAnsi="Calibri" w:eastAsia="Calibri" w:cs="Calibri"/>
          <w:b w:val="0"/>
          <w:bCs w:val="0"/>
          <w:i w:val="0"/>
          <w:iCs w:val="0"/>
          <w:caps w:val="0"/>
          <w:smallCaps w:val="0"/>
          <w:noProof w:val="0"/>
          <w:color w:val="000000" w:themeColor="text1" w:themeTint="FF" w:themeShade="FF"/>
          <w:sz w:val="22"/>
          <w:szCs w:val="22"/>
          <w:lang w:val="en-US"/>
        </w:rPr>
        <w:t>imate change</w:t>
      </w:r>
      <w:r w:rsidRPr="1C6EF2ED" w:rsidR="7897BD9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mitigation </w:t>
      </w:r>
      <w:r w:rsidRPr="1C6EF2ED" w:rsidR="50D7324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by </w:t>
      </w:r>
      <w:r w:rsidRPr="1C6EF2ED" w:rsidR="2B403342">
        <w:rPr>
          <w:rFonts w:ascii="Calibri" w:hAnsi="Calibri" w:eastAsia="Calibri" w:cs="Calibri"/>
          <w:b w:val="0"/>
          <w:bCs w:val="0"/>
          <w:i w:val="0"/>
          <w:iCs w:val="0"/>
          <w:caps w:val="0"/>
          <w:smallCaps w:val="0"/>
          <w:noProof w:val="0"/>
          <w:color w:val="000000" w:themeColor="text1" w:themeTint="FF" w:themeShade="FF"/>
          <w:sz w:val="22"/>
          <w:szCs w:val="22"/>
          <w:lang w:val="en-US"/>
        </w:rPr>
        <w:t>slowing down carbon loss (</w:t>
      </w:r>
      <w:proofErr w:type="spellStart"/>
      <w:r w:rsidRPr="1C6EF2ED" w:rsidR="2B403342">
        <w:rPr>
          <w:rFonts w:ascii="Calibri" w:hAnsi="Calibri" w:eastAsia="Calibri" w:cs="Calibri"/>
          <w:b w:val="0"/>
          <w:bCs w:val="0"/>
          <w:i w:val="0"/>
          <w:iCs w:val="0"/>
          <w:caps w:val="0"/>
          <w:smallCaps w:val="0"/>
          <w:noProof w:val="0"/>
          <w:color w:val="000000" w:themeColor="text1" w:themeTint="FF" w:themeShade="FF"/>
          <w:sz w:val="22"/>
          <w:szCs w:val="22"/>
          <w:lang w:val="en-US"/>
        </w:rPr>
        <w:t>Scharlemann</w:t>
      </w:r>
      <w:proofErr w:type="spellEnd"/>
      <w:r w:rsidRPr="1C6EF2ED" w:rsidR="2B40334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et al., 2010; </w:t>
      </w:r>
      <w:proofErr w:type="spellStart"/>
      <w:r w:rsidRPr="1C6EF2ED" w:rsidR="2B403342">
        <w:rPr>
          <w:rFonts w:ascii="Calibri" w:hAnsi="Calibri" w:eastAsia="Calibri" w:cs="Calibri"/>
          <w:b w:val="0"/>
          <w:bCs w:val="0"/>
          <w:i w:val="0"/>
          <w:iCs w:val="0"/>
          <w:caps w:val="0"/>
          <w:smallCaps w:val="0"/>
          <w:noProof w:val="0"/>
          <w:color w:val="000000" w:themeColor="text1" w:themeTint="FF" w:themeShade="FF"/>
          <w:sz w:val="22"/>
          <w:szCs w:val="22"/>
          <w:lang w:val="en-US"/>
        </w:rPr>
        <w:t>Mun</w:t>
      </w:r>
      <w:r w:rsidRPr="1C6EF2ED" w:rsidR="242B7BBB">
        <w:rPr>
          <w:rFonts w:ascii="Calibri" w:hAnsi="Calibri" w:eastAsia="Calibri" w:cs="Calibri"/>
          <w:b w:val="0"/>
          <w:bCs w:val="0"/>
          <w:i w:val="0"/>
          <w:iCs w:val="0"/>
          <w:caps w:val="0"/>
          <w:smallCaps w:val="0"/>
          <w:noProof w:val="0"/>
          <w:color w:val="000000" w:themeColor="text1" w:themeTint="FF" w:themeShade="FF"/>
          <w:sz w:val="22"/>
          <w:szCs w:val="22"/>
          <w:lang w:val="en-US"/>
        </w:rPr>
        <w:t>ang</w:t>
      </w:r>
      <w:proofErr w:type="spellEnd"/>
      <w:r w:rsidRPr="1C6EF2ED" w:rsidR="242B7BB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et al., 2013</w:t>
      </w:r>
      <w:r w:rsidRPr="1C6EF2ED" w:rsidR="2B403342">
        <w:rPr>
          <w:rFonts w:ascii="Calibri" w:hAnsi="Calibri" w:eastAsia="Calibri" w:cs="Calibri"/>
          <w:b w:val="0"/>
          <w:bCs w:val="0"/>
          <w:i w:val="0"/>
          <w:iCs w:val="0"/>
          <w:caps w:val="0"/>
          <w:smallCaps w:val="0"/>
          <w:noProof w:val="0"/>
          <w:color w:val="000000" w:themeColor="text1" w:themeTint="FF" w:themeShade="FF"/>
          <w:sz w:val="22"/>
          <w:szCs w:val="22"/>
          <w:lang w:val="en-US"/>
        </w:rPr>
        <w:t>)</w:t>
      </w:r>
      <w:r w:rsidRPr="1C6EF2ED" w:rsidR="55485DE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C6EF2ED" w:rsidR="53DB970A">
        <w:rPr>
          <w:rFonts w:ascii="Calibri" w:hAnsi="Calibri" w:eastAsia="Calibri" w:cs="Calibri"/>
          <w:b w:val="0"/>
          <w:bCs w:val="0"/>
          <w:i w:val="0"/>
          <w:iCs w:val="0"/>
          <w:caps w:val="0"/>
          <w:smallCaps w:val="0"/>
          <w:noProof w:val="0"/>
          <w:color w:val="000000" w:themeColor="text1" w:themeTint="FF" w:themeShade="FF"/>
          <w:sz w:val="22"/>
          <w:szCs w:val="22"/>
          <w:lang w:val="en-US"/>
        </w:rPr>
        <w:t>The Sustainable Development Goals (SDGs), the United Nations Framework Convention on Climate Change (UNFCCC) and the CBD emphasize the necessity to integrate climate and conservation agendas</w:t>
      </w:r>
      <w:r w:rsidRPr="1C6EF2ED" w:rsidR="24F16F9A">
        <w:rPr>
          <w:rFonts w:ascii="Calibri" w:hAnsi="Calibri" w:eastAsia="Calibri" w:cs="Calibri"/>
          <w:b w:val="0"/>
          <w:bCs w:val="0"/>
          <w:i w:val="0"/>
          <w:iCs w:val="0"/>
          <w:caps w:val="0"/>
          <w:smallCaps w:val="0"/>
          <w:noProof w:val="0"/>
          <w:color w:val="000000" w:themeColor="text1" w:themeTint="FF" w:themeShade="FF"/>
          <w:sz w:val="22"/>
          <w:szCs w:val="22"/>
          <w:lang w:val="en-US"/>
        </w:rPr>
        <w:t>.</w:t>
      </w:r>
      <w:r w:rsidRPr="1C6EF2ED" w:rsidR="03DABBC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C6EF2ED" w:rsidR="03DABBC0">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t>CC, carbon, storage vs sequestration, PAs, Paris Agreement, CBD, SDGs…</w:t>
      </w:r>
    </w:p>
    <w:p w:rsidR="7E67C9FC" w:rsidP="1C6EF2ED" w:rsidRDefault="7E67C9FC" w14:paraId="797E4A59" w14:textId="3D4C6DF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C6EF2ED" w:rsidR="11A739F0">
        <w:rPr>
          <w:rFonts w:ascii="Calibri" w:hAnsi="Calibri" w:eastAsia="Calibri" w:cs="Calibri"/>
          <w:b w:val="0"/>
          <w:bCs w:val="0"/>
          <w:i w:val="0"/>
          <w:iCs w:val="0"/>
          <w:caps w:val="0"/>
          <w:smallCaps w:val="0"/>
          <w:noProof w:val="0"/>
          <w:color w:val="000000" w:themeColor="text1" w:themeTint="FF" w:themeShade="FF"/>
          <w:sz w:val="22"/>
          <w:szCs w:val="22"/>
          <w:lang w:val="en-US"/>
        </w:rPr>
        <w:t>Terrestrial p</w:t>
      </w:r>
      <w:r w:rsidRPr="1C6EF2ED" w:rsidR="24F16F9A">
        <w:rPr>
          <w:rFonts w:ascii="Calibri" w:hAnsi="Calibri" w:eastAsia="Calibri" w:cs="Calibri"/>
          <w:b w:val="0"/>
          <w:bCs w:val="0"/>
          <w:i w:val="0"/>
          <w:iCs w:val="0"/>
          <w:caps w:val="0"/>
          <w:smallCaps w:val="0"/>
          <w:noProof w:val="0"/>
          <w:color w:val="000000" w:themeColor="text1" w:themeTint="FF" w:themeShade="FF"/>
          <w:sz w:val="22"/>
          <w:szCs w:val="22"/>
          <w:lang w:val="en-US"/>
        </w:rPr>
        <w:t>rotected areas</w:t>
      </w:r>
      <w:r w:rsidRPr="1C6EF2ED" w:rsidR="4109E0D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cover </w:t>
      </w:r>
      <w:r w:rsidRPr="1C6EF2ED" w:rsidR="565FA0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X% of the </w:t>
      </w:r>
      <w:r w:rsidRPr="1C6EF2ED" w:rsidR="1C0F4B26">
        <w:rPr>
          <w:rFonts w:ascii="Calibri" w:hAnsi="Calibri" w:eastAsia="Calibri" w:cs="Calibri"/>
          <w:b w:val="0"/>
          <w:bCs w:val="0"/>
          <w:i w:val="0"/>
          <w:iCs w:val="0"/>
          <w:caps w:val="0"/>
          <w:smallCaps w:val="0"/>
          <w:noProof w:val="0"/>
          <w:color w:val="000000" w:themeColor="text1" w:themeTint="FF" w:themeShade="FF"/>
          <w:sz w:val="22"/>
          <w:szCs w:val="22"/>
          <w:lang w:val="en-US"/>
        </w:rPr>
        <w:t>land</w:t>
      </w:r>
      <w:r w:rsidRPr="1C6EF2ED" w:rsidR="565FA0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surface </w:t>
      </w:r>
      <w:r w:rsidRPr="1C6EF2ED" w:rsidR="394CCBD0">
        <w:rPr>
          <w:rFonts w:ascii="Calibri" w:hAnsi="Calibri" w:eastAsia="Calibri" w:cs="Calibri"/>
          <w:b w:val="0"/>
          <w:bCs w:val="0"/>
          <w:i w:val="0"/>
          <w:iCs w:val="0"/>
          <w:caps w:val="0"/>
          <w:smallCaps w:val="0"/>
          <w:noProof w:val="0"/>
          <w:color w:val="000000" w:themeColor="text1" w:themeTint="FF" w:themeShade="FF"/>
          <w:sz w:val="22"/>
          <w:szCs w:val="22"/>
          <w:lang w:val="en-US"/>
        </w:rPr>
        <w:t>(D</w:t>
      </w:r>
      <w:r w:rsidRPr="1C6EF2ED" w:rsidR="50365332">
        <w:rPr>
          <w:rFonts w:ascii="Calibri" w:hAnsi="Calibri" w:eastAsia="Calibri" w:cs="Calibri"/>
          <w:b w:val="0"/>
          <w:bCs w:val="0"/>
          <w:i w:val="0"/>
          <w:iCs w:val="0"/>
          <w:caps w:val="0"/>
          <w:smallCaps w:val="0"/>
          <w:noProof w:val="0"/>
          <w:color w:val="000000" w:themeColor="text1" w:themeTint="FF" w:themeShade="FF"/>
          <w:sz w:val="22"/>
          <w:szCs w:val="22"/>
          <w:lang w:val="en-US"/>
        </w:rPr>
        <w:t>elli et al.</w:t>
      </w:r>
      <w:r w:rsidRPr="1C6EF2ED" w:rsidR="394CCBD0">
        <w:rPr>
          <w:rFonts w:ascii="Calibri" w:hAnsi="Calibri" w:eastAsia="Calibri" w:cs="Calibri"/>
          <w:b w:val="0"/>
          <w:bCs w:val="0"/>
          <w:i w:val="0"/>
          <w:iCs w:val="0"/>
          <w:caps w:val="0"/>
          <w:smallCaps w:val="0"/>
          <w:noProof w:val="0"/>
          <w:color w:val="000000" w:themeColor="text1" w:themeTint="FF" w:themeShade="FF"/>
          <w:sz w:val="22"/>
          <w:szCs w:val="22"/>
          <w:lang w:val="en-US"/>
        </w:rPr>
        <w:t>, 2021). They represent an effective tool to reduce land degradatio</w:t>
      </w:r>
      <w:r w:rsidRPr="1C6EF2ED" w:rsidR="00E0A91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 </w:t>
      </w:r>
      <w:r w:rsidRPr="1C6EF2ED" w:rsidR="318DADE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and </w:t>
      </w:r>
      <w:r w:rsidRPr="1C6EF2ED" w:rsidR="250DA3FB">
        <w:rPr>
          <w:rFonts w:ascii="Calibri" w:hAnsi="Calibri" w:eastAsia="Calibri" w:cs="Calibri"/>
          <w:b w:val="0"/>
          <w:bCs w:val="0"/>
          <w:i w:val="0"/>
          <w:iCs w:val="0"/>
          <w:caps w:val="0"/>
          <w:smallCaps w:val="0"/>
          <w:noProof w:val="0"/>
          <w:color w:val="000000" w:themeColor="text1" w:themeTint="FF" w:themeShade="FF"/>
          <w:sz w:val="22"/>
          <w:szCs w:val="22"/>
          <w:lang w:val="en-US"/>
        </w:rPr>
        <w:t>provide</w:t>
      </w:r>
      <w:r w:rsidRPr="1C6EF2ED" w:rsidR="318DADE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C6EF2ED" w:rsidR="3EB77D9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several </w:t>
      </w:r>
      <w:r w:rsidRPr="1C6EF2ED" w:rsidR="318DADE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ecosystem services </w:t>
      </w:r>
      <w:r w:rsidRPr="1C6EF2ED" w:rsidR="00E0A91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 la Fuente et al., 2020). </w:t>
      </w:r>
      <w:r w:rsidRPr="1C6EF2ED" w:rsidR="429FA7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Carbon storage </w:t>
      </w:r>
      <w:r w:rsidRPr="1C6EF2ED" w:rsidR="4C6A6A7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 vegetation and </w:t>
      </w:r>
      <w:r w:rsidRPr="1C6EF2ED" w:rsidR="1CAB54D1">
        <w:rPr>
          <w:rFonts w:ascii="Calibri" w:hAnsi="Calibri" w:eastAsia="Calibri" w:cs="Calibri"/>
          <w:b w:val="0"/>
          <w:bCs w:val="0"/>
          <w:i w:val="0"/>
          <w:iCs w:val="0"/>
          <w:caps w:val="0"/>
          <w:smallCaps w:val="0"/>
          <w:noProof w:val="0"/>
          <w:color w:val="000000" w:themeColor="text1" w:themeTint="FF" w:themeShade="FF"/>
          <w:sz w:val="22"/>
          <w:szCs w:val="22"/>
          <w:lang w:val="en-US"/>
        </w:rPr>
        <w:t>soil</w:t>
      </w:r>
      <w:r w:rsidRPr="1C6EF2ED" w:rsidR="3A18760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an important service </w:t>
      </w:r>
      <w:r w:rsidRPr="1C6EF2ED" w:rsidR="6D1DEB4A">
        <w:rPr>
          <w:rFonts w:ascii="Calibri" w:hAnsi="Calibri" w:eastAsia="Calibri" w:cs="Calibri"/>
          <w:b w:val="0"/>
          <w:bCs w:val="0"/>
          <w:i w:val="0"/>
          <w:iCs w:val="0"/>
          <w:caps w:val="0"/>
          <w:smallCaps w:val="0"/>
          <w:noProof w:val="0"/>
          <w:color w:val="000000" w:themeColor="text1" w:themeTint="FF" w:themeShade="FF"/>
          <w:sz w:val="22"/>
          <w:szCs w:val="22"/>
          <w:lang w:val="en-US"/>
        </w:rPr>
        <w:t>which</w:t>
      </w:r>
      <w:r w:rsidRPr="1C6EF2ED" w:rsidR="4C6A6A7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C6EF2ED" w:rsidR="4C6A6A7D">
        <w:rPr>
          <w:rFonts w:ascii="Calibri" w:hAnsi="Calibri" w:eastAsia="Calibri" w:cs="Calibri"/>
          <w:b w:val="0"/>
          <w:bCs w:val="0"/>
          <w:i w:val="0"/>
          <w:iCs w:val="0"/>
          <w:caps w:val="0"/>
          <w:smallCaps w:val="0"/>
          <w:noProof w:val="0"/>
          <w:color w:val="000000" w:themeColor="text1" w:themeTint="FF" w:themeShade="FF"/>
          <w:sz w:val="22"/>
          <w:szCs w:val="22"/>
          <w:lang w:val="en-US"/>
        </w:rPr>
        <w:t>has</w:t>
      </w:r>
      <w:r w:rsidRPr="1C6EF2ED" w:rsidR="00FD0C5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gained </w:t>
      </w:r>
      <w:r w:rsidRPr="1C6EF2ED" w:rsidR="4C6A6A7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interest </w:t>
      </w:r>
      <w:r w:rsidRPr="1C6EF2ED" w:rsidR="120BBA3A">
        <w:rPr>
          <w:rFonts w:ascii="Calibri" w:hAnsi="Calibri" w:eastAsia="Calibri" w:cs="Calibri"/>
          <w:b w:val="0"/>
          <w:bCs w:val="0"/>
          <w:i w:val="0"/>
          <w:iCs w:val="0"/>
          <w:caps w:val="0"/>
          <w:smallCaps w:val="0"/>
          <w:noProof w:val="0"/>
          <w:color w:val="000000" w:themeColor="text1" w:themeTint="FF" w:themeShade="FF"/>
          <w:sz w:val="22"/>
          <w:szCs w:val="22"/>
          <w:lang w:val="en-US"/>
        </w:rPr>
        <w:t>in</w:t>
      </w:r>
      <w:r w:rsidRPr="1C6EF2ED" w:rsidR="4C6A6A7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climate-policy</w:t>
      </w:r>
      <w:r w:rsidRPr="1C6EF2ED" w:rsidR="0BC62E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agenda. However,</w:t>
      </w:r>
      <w:r w:rsidRPr="1C6EF2ED" w:rsidR="4C6A6A7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C6EF2ED" w:rsidR="6A8E942F">
        <w:rPr>
          <w:rFonts w:ascii="Calibri" w:hAnsi="Calibri" w:eastAsia="Calibri" w:cs="Calibri"/>
          <w:b w:val="0"/>
          <w:bCs w:val="0"/>
          <w:i w:val="0"/>
          <w:iCs w:val="0"/>
          <w:caps w:val="0"/>
          <w:smallCaps w:val="0"/>
          <w:noProof w:val="0"/>
          <w:color w:val="000000" w:themeColor="text1" w:themeTint="FF" w:themeShade="FF"/>
          <w:sz w:val="22"/>
          <w:szCs w:val="22"/>
          <w:lang w:val="en-US"/>
        </w:rPr>
        <w:t>p</w:t>
      </w:r>
      <w:r w:rsidRPr="1C6EF2ED" w:rsidR="1BB8228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rotected areas as a mechanism in climate change mitigation policies have mainly targeted </w:t>
      </w:r>
      <w:r w:rsidRPr="1C6EF2ED" w:rsidR="186ADE9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above </w:t>
      </w:r>
      <w:r w:rsidRPr="1C6EF2ED" w:rsidR="186ADE96">
        <w:rPr>
          <w:rFonts w:ascii="Calibri" w:hAnsi="Calibri" w:eastAsia="Calibri" w:cs="Calibri"/>
          <w:b w:val="0"/>
          <w:bCs w:val="0"/>
          <w:i w:val="0"/>
          <w:iCs w:val="0"/>
          <w:caps w:val="0"/>
          <w:smallCaps w:val="0"/>
          <w:noProof w:val="0"/>
          <w:color w:val="000000" w:themeColor="text1" w:themeTint="FF" w:themeShade="FF"/>
          <w:sz w:val="22"/>
          <w:szCs w:val="22"/>
          <w:lang w:val="en-US"/>
        </w:rPr>
        <w:t>ground</w:t>
      </w:r>
      <w:r w:rsidRPr="1C6EF2ED" w:rsidR="186ADE9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C6EF2ED" w:rsidR="1BB82284">
        <w:rPr>
          <w:rFonts w:ascii="Calibri" w:hAnsi="Calibri" w:eastAsia="Calibri" w:cs="Calibri"/>
          <w:b w:val="0"/>
          <w:bCs w:val="0"/>
          <w:i w:val="0"/>
          <w:iCs w:val="0"/>
          <w:caps w:val="0"/>
          <w:smallCaps w:val="0"/>
          <w:noProof w:val="0"/>
          <w:color w:val="000000" w:themeColor="text1" w:themeTint="FF" w:themeShade="FF"/>
          <w:sz w:val="22"/>
          <w:szCs w:val="22"/>
          <w:lang w:val="en-US"/>
        </w:rPr>
        <w:t>carbon-dense fore</w:t>
      </w:r>
      <w:r w:rsidRPr="1C6EF2ED" w:rsidR="491861C6">
        <w:rPr>
          <w:rFonts w:ascii="Calibri" w:hAnsi="Calibri" w:eastAsia="Calibri" w:cs="Calibri"/>
          <w:b w:val="0"/>
          <w:bCs w:val="0"/>
          <w:i w:val="0"/>
          <w:iCs w:val="0"/>
          <w:caps w:val="0"/>
          <w:smallCaps w:val="0"/>
          <w:noProof w:val="0"/>
          <w:color w:val="000000" w:themeColor="text1" w:themeTint="FF" w:themeShade="FF"/>
          <w:sz w:val="22"/>
          <w:szCs w:val="22"/>
          <w:lang w:val="en-US"/>
        </w:rPr>
        <w:t>s</w:t>
      </w:r>
      <w:r w:rsidRPr="1C6EF2ED" w:rsidR="1BB82284">
        <w:rPr>
          <w:rFonts w:ascii="Calibri" w:hAnsi="Calibri" w:eastAsia="Calibri" w:cs="Calibri"/>
          <w:b w:val="0"/>
          <w:bCs w:val="0"/>
          <w:i w:val="0"/>
          <w:iCs w:val="0"/>
          <w:caps w:val="0"/>
          <w:smallCaps w:val="0"/>
          <w:noProof w:val="0"/>
          <w:color w:val="000000" w:themeColor="text1" w:themeTint="FF" w:themeShade="FF"/>
          <w:sz w:val="22"/>
          <w:szCs w:val="22"/>
          <w:lang w:val="en-US"/>
        </w:rPr>
        <w:t>ts</w:t>
      </w:r>
      <w:r w:rsidRPr="1C6EF2ED" w:rsidR="1EEE4F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(Venter &amp; Kohl, 2012)</w:t>
      </w:r>
      <w:r w:rsidRPr="1C6EF2ED" w:rsidR="7801A7F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C6EF2ED" w:rsidR="025F0FE8">
        <w:rPr>
          <w:rFonts w:ascii="Calibri" w:hAnsi="Calibri" w:eastAsia="Calibri" w:cs="Calibri"/>
          <w:b w:val="0"/>
          <w:bCs w:val="0"/>
          <w:i w:val="0"/>
          <w:iCs w:val="0"/>
          <w:caps w:val="0"/>
          <w:smallCaps w:val="0"/>
          <w:noProof w:val="0"/>
          <w:color w:val="000000" w:themeColor="text1" w:themeTint="FF" w:themeShade="FF"/>
          <w:sz w:val="22"/>
          <w:szCs w:val="22"/>
          <w:lang w:val="en-US"/>
        </w:rPr>
        <w:t>not considering for the most part</w:t>
      </w:r>
      <w:r w:rsidRPr="1C6EF2ED" w:rsidR="7801A7F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other regions with </w:t>
      </w:r>
      <w:r w:rsidRPr="1C6EF2ED" w:rsidR="7801A7F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relevant carbon </w:t>
      </w:r>
      <w:r w:rsidRPr="1C6EF2ED" w:rsidR="44890FC0">
        <w:rPr>
          <w:rFonts w:ascii="Calibri" w:hAnsi="Calibri" w:eastAsia="Calibri" w:cs="Calibri"/>
          <w:b w:val="0"/>
          <w:bCs w:val="0"/>
          <w:i w:val="0"/>
          <w:iCs w:val="0"/>
          <w:caps w:val="0"/>
          <w:smallCaps w:val="0"/>
          <w:noProof w:val="0"/>
          <w:color w:val="000000" w:themeColor="text1" w:themeTint="FF" w:themeShade="FF"/>
          <w:sz w:val="22"/>
          <w:szCs w:val="22"/>
          <w:lang w:val="en-US"/>
        </w:rPr>
        <w:t>pool</w:t>
      </w:r>
      <w:r w:rsidRPr="1C6EF2ED" w:rsidR="7801A7F6">
        <w:rPr>
          <w:rFonts w:ascii="Calibri" w:hAnsi="Calibri" w:eastAsia="Calibri" w:cs="Calibri"/>
          <w:b w:val="0"/>
          <w:bCs w:val="0"/>
          <w:i w:val="0"/>
          <w:iCs w:val="0"/>
          <w:caps w:val="0"/>
          <w:smallCaps w:val="0"/>
          <w:noProof w:val="0"/>
          <w:color w:val="000000" w:themeColor="text1" w:themeTint="FF" w:themeShade="FF"/>
          <w:sz w:val="22"/>
          <w:szCs w:val="22"/>
          <w:lang w:val="en-US"/>
        </w:rPr>
        <w:t>s</w:t>
      </w:r>
      <w:r w:rsidRPr="1C6EF2ED" w:rsidR="0444DAE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example soils and root systems)</w:t>
      </w:r>
      <w:r w:rsidRPr="1C6EF2ED" w:rsidR="2D3AC35A">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7E67C9FC" w:rsidP="1C6EF2ED" w:rsidRDefault="7E67C9FC" w14:paraId="21DB22D5" w14:textId="7A11FE7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C6EF2ED" w:rsidR="4F19574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study </w:t>
      </w:r>
      <w:r w:rsidRPr="1C6EF2ED" w:rsidR="3F4F7DF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presents an </w:t>
      </w:r>
      <w:r w:rsidRPr="1C6EF2ED" w:rsidR="15CC00A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multi-scale </w:t>
      </w:r>
      <w:r w:rsidRPr="1C6EF2ED" w:rsidR="3F4F7DF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assessment of carbon </w:t>
      </w:r>
      <w:r w:rsidRPr="1C6EF2ED" w:rsidR="7058A01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stocks across the “vertical pools” </w:t>
      </w:r>
      <w:commentRangeStart w:id="1868458226"/>
      <w:r w:rsidRPr="1C6EF2ED" w:rsidR="186F9738">
        <w:rPr>
          <w:rFonts w:ascii="Calibri" w:hAnsi="Calibri" w:eastAsia="Calibri" w:cs="Calibri"/>
          <w:b w:val="0"/>
          <w:bCs w:val="0"/>
          <w:i w:val="0"/>
          <w:iCs w:val="0"/>
          <w:caps w:val="0"/>
          <w:smallCaps w:val="0"/>
          <w:noProof w:val="0"/>
          <w:color w:val="000000" w:themeColor="text1" w:themeTint="FF" w:themeShade="FF"/>
          <w:sz w:val="22"/>
          <w:szCs w:val="22"/>
          <w:lang w:val="en-US"/>
        </w:rPr>
        <w:t>(</w:t>
      </w:r>
      <w:r w:rsidRPr="1C6EF2ED" w:rsidR="7058A01A">
        <w:rPr>
          <w:rFonts w:ascii="Calibri" w:hAnsi="Calibri" w:eastAsia="Calibri" w:cs="Calibri"/>
          <w:b w:val="0"/>
          <w:bCs w:val="0"/>
          <w:i w:val="0"/>
          <w:iCs w:val="0"/>
          <w:caps w:val="0"/>
          <w:smallCaps w:val="0"/>
          <w:noProof w:val="0"/>
          <w:color w:val="000000" w:themeColor="text1" w:themeTint="FF" w:themeShade="FF"/>
          <w:sz w:val="22"/>
          <w:szCs w:val="22"/>
          <w:lang w:val="en-US"/>
        </w:rPr>
        <w:t>of forests</w:t>
      </w:r>
      <w:r w:rsidRPr="1C6EF2ED" w:rsidR="75815F03">
        <w:rPr>
          <w:rFonts w:ascii="Calibri" w:hAnsi="Calibri" w:eastAsia="Calibri" w:cs="Calibri"/>
          <w:b w:val="0"/>
          <w:bCs w:val="0"/>
          <w:i w:val="0"/>
          <w:iCs w:val="0"/>
          <w:caps w:val="0"/>
          <w:smallCaps w:val="0"/>
          <w:noProof w:val="0"/>
          <w:color w:val="000000" w:themeColor="text1" w:themeTint="FF" w:themeShade="FF"/>
          <w:sz w:val="22"/>
          <w:szCs w:val="22"/>
          <w:lang w:val="en-US"/>
        </w:rPr>
        <w:t>)</w:t>
      </w:r>
      <w:commentRangeEnd w:id="1868458226"/>
      <w:r>
        <w:rPr>
          <w:rStyle w:val="CommentReference"/>
        </w:rPr>
        <w:commentReference w:id="1868458226"/>
      </w:r>
      <w:r w:rsidRPr="1C6EF2ED" w:rsidR="7A56B4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PAs</w:t>
      </w:r>
      <w:r w:rsidRPr="1C6EF2ED" w:rsidR="19D6596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showing their total contribution to the global carbon storage.</w:t>
      </w:r>
      <w:r w:rsidRPr="1C6EF2ED" w:rsidR="6EFE178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 examine the contribution of protected carbon stocks by country and ecoregion</w:t>
      </w:r>
      <w:r w:rsidRPr="1C6EF2ED" w:rsidR="5674759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in different PA management categories, ranging from strict nature reserves to sustainable use areas. </w:t>
      </w:r>
      <w:r w:rsidRPr="1C6EF2ED" w:rsidR="3D2E9234">
        <w:rPr>
          <w:rFonts w:ascii="Calibri" w:hAnsi="Calibri" w:eastAsia="Calibri" w:cs="Calibri"/>
          <w:b w:val="0"/>
          <w:bCs w:val="0"/>
          <w:i w:val="0"/>
          <w:iCs w:val="0"/>
          <w:caps w:val="0"/>
          <w:smallCaps w:val="0"/>
          <w:noProof w:val="0"/>
          <w:color w:val="000000" w:themeColor="text1" w:themeTint="FF" w:themeShade="FF"/>
          <w:sz w:val="22"/>
          <w:szCs w:val="22"/>
          <w:lang w:val="en-US"/>
        </w:rPr>
        <w:t>T</w:t>
      </w:r>
      <w:r w:rsidRPr="1C6EF2ED" w:rsidR="5674759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his exercise </w:t>
      </w:r>
      <w:r w:rsidRPr="1C6EF2ED" w:rsidR="456709C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provides a global overview of </w:t>
      </w:r>
      <w:r w:rsidRPr="1C6EF2ED" w:rsidR="6BD70B2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which regions and countries contribute most to mitigate climate change through </w:t>
      </w:r>
      <w:r w:rsidRPr="1C6EF2ED" w:rsidR="251BF30C">
        <w:rPr>
          <w:rFonts w:ascii="Calibri" w:hAnsi="Calibri" w:eastAsia="Calibri" w:cs="Calibri"/>
          <w:b w:val="0"/>
          <w:bCs w:val="0"/>
          <w:i w:val="0"/>
          <w:iCs w:val="0"/>
          <w:caps w:val="0"/>
          <w:smallCaps w:val="0"/>
          <w:noProof w:val="0"/>
          <w:color w:val="000000" w:themeColor="text1" w:themeTint="FF" w:themeShade="FF"/>
          <w:sz w:val="22"/>
          <w:szCs w:val="22"/>
          <w:lang w:val="en-US"/>
        </w:rPr>
        <w:t>reducing emissions from deforestation and forest degradation (REDD).</w:t>
      </w:r>
      <w:r w:rsidRPr="1C6EF2ED" w:rsidR="490F97C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C6EF2ED" w:rsidR="464CC3FD">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t>Overarching policy question: How do protected areas contribute to carbon storage and hence to offset the impacts of fossil fuel emissions and to climate change mitigation?</w:t>
      </w:r>
    </w:p>
    <w:p w:rsidR="5BFBDBC3" w:rsidP="1C6EF2ED" w:rsidRDefault="5BFBDBC3" w14:paraId="265EF3EF" w14:textId="29FAA4A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pPr>
      <w:r w:rsidRPr="1C6EF2ED" w:rsidR="5BFBDBC3">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t>How important are PAs for C stock conservation relative to their total % coverage?</w:t>
      </w:r>
    </w:p>
    <w:p w:rsidR="7E67C9FC" w:rsidP="68A7EF9C" w:rsidRDefault="7E67C9FC" w14:paraId="0AE786CF" w14:textId="1CAF8981">
      <w:pPr>
        <w:pStyle w:val="Heading1"/>
      </w:pPr>
      <w:r w:rsidR="464CC3FD">
        <w:rPr/>
        <w:t>M</w:t>
      </w:r>
      <w:r w:rsidR="740ABD59">
        <w:rPr/>
        <w:t>aterials &amp; m</w:t>
      </w:r>
      <w:r w:rsidR="464CC3FD">
        <w:rPr/>
        <w:t>ethod</w:t>
      </w:r>
      <w:r w:rsidR="5BEC68BF">
        <w:rPr/>
        <w:t>s</w:t>
      </w:r>
    </w:p>
    <w:p w:rsidR="68A7EF9C" w:rsidP="68A7EF9C" w:rsidRDefault="68A7EF9C" w14:paraId="166A3A41" w14:textId="7774929F">
      <w:pPr>
        <w:pStyle w:val="Normal"/>
      </w:pPr>
      <w:r w:rsidR="43BC949A">
        <w:rPr/>
        <w:t xml:space="preserve">Since our approach in </w:t>
      </w:r>
      <w:r w:rsidR="63B946F9">
        <w:rPr/>
        <w:t xml:space="preserve">carbon stocks </w:t>
      </w:r>
      <w:r w:rsidR="43BC949A">
        <w:rPr/>
        <w:t>doesn’t account for grasslands or cropland (negligible in PAs?)</w:t>
      </w:r>
      <w:r w:rsidR="2A4326E5">
        <w:rPr/>
        <w:t xml:space="preserve"> maybe we could try to only include SOC pixels where there is AGB?</w:t>
      </w:r>
      <w:r w:rsidR="121FC181">
        <w:rPr/>
        <w:t xml:space="preserve"> So only forests?</w:t>
      </w:r>
      <w:r w:rsidR="2A4326E5">
        <w:rPr/>
        <w:t xml:space="preserve"> </w:t>
      </w:r>
    </w:p>
    <w:p w:rsidR="49822F3F" w:rsidP="1C6EF2ED" w:rsidRDefault="49822F3F" w14:paraId="6C942797" w14:textId="5A87DE96">
      <w:pPr>
        <w:pStyle w:val="Normal"/>
        <w:rPr>
          <w:b w:val="1"/>
          <w:bCs w:val="1"/>
        </w:rPr>
      </w:pPr>
      <w:r w:rsidRPr="1C6EF2ED" w:rsidR="49822F3F">
        <w:rPr>
          <w:b w:val="1"/>
          <w:bCs w:val="1"/>
        </w:rPr>
        <w:t>Protected areas and buffer zones</w:t>
      </w:r>
    </w:p>
    <w:p w:rsidR="694D02DA" w:rsidP="1C6EF2ED" w:rsidRDefault="694D02DA" w14:paraId="1AC634C1" w14:textId="4269264F">
      <w:pPr>
        <w:pStyle w:val="Normal"/>
      </w:pPr>
      <w:commentRangeStart w:id="1198554850"/>
      <w:r w:rsidR="694D02DA">
        <w:rPr/>
        <w:t>Using the spatial extent of PAs at the global scale using the public version of the World Database on Protected Areas (WDPA) for [WDPA version] from Protected Planet (UNEP-WCMC, [year])</w:t>
      </w:r>
      <w:r w:rsidR="09394D16">
        <w:rPr/>
        <w:t xml:space="preserve">. The WDPA is managed by the World Conservation Monitoring Centre (WCMC) of the United Nations Environment </w:t>
      </w:r>
      <w:proofErr w:type="spellStart"/>
      <w:r w:rsidR="09394D16">
        <w:rPr/>
        <w:t>Programme</w:t>
      </w:r>
      <w:proofErr w:type="spellEnd"/>
      <w:r w:rsidR="09394D16">
        <w:rPr/>
        <w:t xml:space="preserve"> (UNEP) in collaboration with the International Union for Conservation of Nature (IUCN</w:t>
      </w:r>
      <w:r w:rsidR="09394D16">
        <w:rPr/>
        <w:t>), and</w:t>
      </w:r>
      <w:r w:rsidR="09394D16">
        <w:rPr/>
        <w:t xml:space="preserve"> is collated from national and regional datasets. This dataset consists of </w:t>
      </w:r>
      <w:r w:rsidR="6B6FDD29">
        <w:rPr/>
        <w:t>[</w:t>
      </w:r>
      <w:r w:rsidRPr="1C6EF2ED" w:rsidR="6B6FDD29">
        <w:rPr>
          <w:highlight w:val="yellow"/>
        </w:rPr>
        <w:t>n</w:t>
      </w:r>
      <w:r w:rsidR="6B6FDD29">
        <w:rPr/>
        <w:t>]</w:t>
      </w:r>
      <w:r w:rsidR="09394D16">
        <w:rPr/>
        <w:t xml:space="preserve"> protected areas (PAs), of which those of </w:t>
      </w:r>
      <w:r w:rsidR="488ED829">
        <w:rPr/>
        <w:t>[</w:t>
      </w:r>
      <w:r w:rsidRPr="1C6EF2ED" w:rsidR="488ED829">
        <w:rPr>
          <w:highlight w:val="yellow"/>
        </w:rPr>
        <w:t>X</w:t>
      </w:r>
      <w:r w:rsidR="488ED829">
        <w:rPr/>
        <w:t>]</w:t>
      </w:r>
      <w:r w:rsidR="09394D16">
        <w:rPr/>
        <w:t xml:space="preserve"> km2 or larger (</w:t>
      </w:r>
      <w:r w:rsidR="221B9147">
        <w:rPr/>
        <w:t>[</w:t>
      </w:r>
      <w:r w:rsidRPr="1C6EF2ED" w:rsidR="221B9147">
        <w:rPr>
          <w:highlight w:val="yellow"/>
        </w:rPr>
        <w:t>n</w:t>
      </w:r>
      <w:r w:rsidR="221B9147">
        <w:rPr/>
        <w:t>]</w:t>
      </w:r>
      <w:r w:rsidR="09394D16">
        <w:rPr/>
        <w:t xml:space="preserve"> PAs) are documented in detail in the Digital Observatory for Protected Areas (DOPA) developed by the Joint Research Centre of the European Commission </w:t>
      </w:r>
      <w:r w:rsidR="5E5DF8B5">
        <w:rPr/>
        <w:t>(</w:t>
      </w:r>
      <w:r w:rsidR="19B03B3E">
        <w:rPr/>
        <w:t>Dubois et al., 2016</w:t>
      </w:r>
      <w:r w:rsidR="09394D16">
        <w:rPr/>
        <w:t xml:space="preserve">, </w:t>
      </w:r>
      <w:r w:rsidR="74C3BC0F">
        <w:rPr/>
        <w:t>Bastin et al., 2017</w:t>
      </w:r>
      <w:r w:rsidR="4BF1784F">
        <w:rPr/>
        <w:t>)</w:t>
      </w:r>
      <w:r w:rsidR="09394D16">
        <w:rPr/>
        <w:t xml:space="preserve">. The DOPA, accessible at http://dopa.jrc.ec.europa.eu, provides a broad range of consistent and comparable indicators on PAs at country, ecoregion and protected area level </w:t>
      </w:r>
      <w:r w:rsidR="53A5E5C2">
        <w:rPr/>
        <w:t>(Dubois et al., 2016)</w:t>
      </w:r>
      <w:r w:rsidR="09394D16">
        <w:rPr/>
        <w:t xml:space="preserve">. These indicators are particularly relevant for Aichi Biodiversity Target 11 (Protected Areas) of the CBD, for which DOPA provides several official indicators (PA connectivity as a measure of how </w:t>
      </w:r>
      <w:proofErr w:type="gramStart"/>
      <w:r w:rsidR="09394D16">
        <w:rPr/>
        <w:t>well connected</w:t>
      </w:r>
      <w:proofErr w:type="gramEnd"/>
      <w:r w:rsidR="09394D16">
        <w:rPr/>
        <w:t xml:space="preserve"> terrestrial PA systems are, and PA coverage of terrestrial and marine ecoregions as a measure of PA representativeness), and the UN Sustainable Development Goals 14 (Life below Water) and 15 (Life on Land).</w:t>
      </w:r>
      <w:commentRangeEnd w:id="1198554850"/>
      <w:r>
        <w:rPr>
          <w:rStyle w:val="CommentReference"/>
        </w:rPr>
        <w:commentReference w:id="1198554850"/>
      </w:r>
    </w:p>
    <w:p w:rsidR="6274569B" w:rsidP="1C6EF2ED" w:rsidRDefault="6274569B" w14:paraId="40523CCF" w14:textId="2EBD13D0">
      <w:pPr>
        <w:pStyle w:val="Normal"/>
      </w:pPr>
      <w:r w:rsidR="6274569B">
        <w:rPr/>
        <w:t>In this study, we excluded from the original dataset the following PAs. First, we excluded [</w:t>
      </w:r>
      <w:r w:rsidRPr="1C6EF2ED" w:rsidR="65BE25FF">
        <w:rPr>
          <w:highlight w:val="yellow"/>
        </w:rPr>
        <w:t>n</w:t>
      </w:r>
      <w:r w:rsidR="6274569B">
        <w:rPr/>
        <w:t xml:space="preserve">] PAs with undefined boundaries, so-called point PAs that are reported by national authorities with only a single geographic reference for the </w:t>
      </w:r>
      <w:proofErr w:type="spellStart"/>
      <w:r w:rsidR="6274569B">
        <w:rPr/>
        <w:t>centre</w:t>
      </w:r>
      <w:proofErr w:type="spellEnd"/>
      <w:r w:rsidR="6274569B">
        <w:rPr/>
        <w:t xml:space="preserve"> of the PA. Second, we excluded [</w:t>
      </w:r>
      <w:r w:rsidRPr="1C6EF2ED" w:rsidR="28EB7CEF">
        <w:rPr>
          <w:highlight w:val="yellow"/>
        </w:rPr>
        <w:t>n</w:t>
      </w:r>
      <w:r w:rsidR="6274569B">
        <w:rPr/>
        <w:t xml:space="preserve">] polygon PAs with status 'Not reported' or 'Proposed', in line with common practice for global PA analyses (e.g., </w:t>
      </w:r>
      <w:r w:rsidR="5247075F">
        <w:rPr/>
        <w:t>UNEP-WCMC</w:t>
      </w:r>
      <w:r w:rsidR="6274569B">
        <w:rPr/>
        <w:t>,</w:t>
      </w:r>
      <w:r w:rsidR="33FAD345">
        <w:rPr/>
        <w:t xml:space="preserve"> 2016</w:t>
      </w:r>
      <w:r w:rsidR="6274569B">
        <w:rPr/>
        <w:t xml:space="preserve"> </w:t>
      </w:r>
      <w:r w:rsidR="2729F5CD">
        <w:rPr/>
        <w:t>Saura et al., 2018</w:t>
      </w:r>
      <w:r w:rsidR="6274569B">
        <w:rPr/>
        <w:t xml:space="preserve">). Third, we excluded the UNESCO-MAB and the Biosphere Reserves, as their buffer areas and transition zones may not meet the IUCN protected area definition </w:t>
      </w:r>
      <w:r w:rsidR="3FC1C118">
        <w:rPr/>
        <w:t>(Dudley, 2011)</w:t>
      </w:r>
      <w:r w:rsidR="6274569B">
        <w:rPr/>
        <w:t xml:space="preserve">, and because most of their core areas overlap with other protected areas </w:t>
      </w:r>
      <w:r w:rsidR="534791DC">
        <w:rPr/>
        <w:t>(UNEP-WCMC, 2016)</w:t>
      </w:r>
      <w:r w:rsidR="6274569B">
        <w:rPr/>
        <w:t xml:space="preserve">. Fourth, we excluded </w:t>
      </w:r>
      <w:r w:rsidR="11FEF4CE">
        <w:rPr/>
        <w:t>[</w:t>
      </w:r>
      <w:r w:rsidRPr="1C6EF2ED" w:rsidR="11FEF4CE">
        <w:rPr>
          <w:highlight w:val="yellow"/>
        </w:rPr>
        <w:t>n</w:t>
      </w:r>
      <w:r w:rsidR="11FEF4CE">
        <w:rPr/>
        <w:t>]</w:t>
      </w:r>
      <w:r w:rsidR="6274569B">
        <w:rPr/>
        <w:t xml:space="preserve"> marine PAs, </w:t>
      </w:r>
      <w:proofErr w:type="gramStart"/>
      <w:r w:rsidR="6274569B">
        <w:rPr/>
        <w:t>i.e.</w:t>
      </w:r>
      <w:proofErr w:type="gramEnd"/>
      <w:r w:rsidR="6274569B">
        <w:rPr/>
        <w:t xml:space="preserve"> we only considered PAs classified in the WDPA as terrestrial and coastal (the latter comprised both terrestrial and marine portions. Since the land productivity dynamics </w:t>
      </w:r>
      <w:r w:rsidR="6274569B">
        <w:rPr/>
        <w:t>has</w:t>
      </w:r>
      <w:r w:rsidR="6274569B">
        <w:rPr/>
        <w:t xml:space="preserve"> null values for water areas, marine portions are not considered in our analyses).</w:t>
      </w:r>
      <w:r w:rsidR="3B9744A9">
        <w:rPr/>
        <w:t xml:space="preserve"> </w:t>
      </w:r>
      <w:r w:rsidR="6274569B">
        <w:rPr/>
        <w:t xml:space="preserve">Last, we retained only PAs larger than </w:t>
      </w:r>
      <w:r w:rsidR="4E979C77">
        <w:rPr/>
        <w:t>[</w:t>
      </w:r>
      <w:r w:rsidRPr="1C6EF2ED" w:rsidR="4E979C77">
        <w:rPr>
          <w:highlight w:val="yellow"/>
        </w:rPr>
        <w:t>X</w:t>
      </w:r>
      <w:r w:rsidR="4E979C77">
        <w:rPr/>
        <w:t>]</w:t>
      </w:r>
      <w:r w:rsidR="6274569B">
        <w:rPr/>
        <w:t xml:space="preserve"> km2. This led to a subset of </w:t>
      </w:r>
      <w:r w:rsidR="25278A64">
        <w:rPr/>
        <w:t>[</w:t>
      </w:r>
      <w:r w:rsidRPr="1C6EF2ED" w:rsidR="25278A64">
        <w:rPr>
          <w:highlight w:val="yellow"/>
        </w:rPr>
        <w:t>n</w:t>
      </w:r>
      <w:r w:rsidR="25278A64">
        <w:rPr/>
        <w:t>]</w:t>
      </w:r>
      <w:r w:rsidR="6274569B">
        <w:rPr/>
        <w:t xml:space="preserve"> PAs, object of this study, covering a total of </w:t>
      </w:r>
      <w:r w:rsidR="2FE11761">
        <w:rPr/>
        <w:t>[</w:t>
      </w:r>
      <w:r w:rsidRPr="1C6EF2ED" w:rsidR="2FE11761">
        <w:rPr>
          <w:highlight w:val="yellow"/>
        </w:rPr>
        <w:t>n</w:t>
      </w:r>
      <w:r w:rsidR="2FE11761">
        <w:rPr/>
        <w:t xml:space="preserve">] </w:t>
      </w:r>
      <w:r w:rsidR="6274569B">
        <w:rPr/>
        <w:t xml:space="preserve">km2 and representing </w:t>
      </w:r>
      <w:r w:rsidR="734EEB89">
        <w:rPr/>
        <w:t>[</w:t>
      </w:r>
      <w:r w:rsidRPr="1C6EF2ED" w:rsidR="734EEB89">
        <w:rPr>
          <w:highlight w:val="yellow"/>
        </w:rPr>
        <w:t>n</w:t>
      </w:r>
      <w:r w:rsidR="734EEB89">
        <w:rPr/>
        <w:t>]</w:t>
      </w:r>
      <w:r w:rsidR="6274569B">
        <w:rPr/>
        <w:t xml:space="preserve">% of the </w:t>
      </w:r>
      <w:r w:rsidR="0008CA04">
        <w:rPr/>
        <w:t>[</w:t>
      </w:r>
      <w:r w:rsidRPr="1C6EF2ED" w:rsidR="0008CA04">
        <w:rPr>
          <w:highlight w:val="yellow"/>
        </w:rPr>
        <w:t>n</w:t>
      </w:r>
      <w:r w:rsidR="0008CA04">
        <w:rPr/>
        <w:t>]</w:t>
      </w:r>
      <w:r w:rsidR="6274569B">
        <w:rPr/>
        <w:t xml:space="preserve"> km2 of protected land area at global level.</w:t>
      </w:r>
    </w:p>
    <w:p w:rsidR="58A18B96" w:rsidP="1C6EF2ED" w:rsidRDefault="58A18B96" w14:paraId="0E1E9B26" w14:textId="3DAA9028">
      <w:pPr>
        <w:pStyle w:val="Normal"/>
      </w:pPr>
      <w:r w:rsidRPr="1C6EF2ED" w:rsidR="58A18B96">
        <w:rPr>
          <w:b w:val="1"/>
          <w:bCs w:val="1"/>
        </w:rPr>
        <w:t>Total carbon</w:t>
      </w:r>
    </w:p>
    <w:p w:rsidR="58A18B96" w:rsidP="1C6EF2ED" w:rsidRDefault="58A18B96" w14:paraId="30783F5F" w14:textId="710CDAB8">
      <w:pPr>
        <w:pStyle w:val="Normal"/>
      </w:pPr>
      <w:r w:rsidR="58A18B96">
        <w:rPr/>
        <w:t xml:space="preserve">Three datasets are included for the </w:t>
      </w:r>
      <w:r w:rsidR="1C05CC33">
        <w:rPr/>
        <w:t>calculation of the total organic carbon stocks inside PAs</w:t>
      </w:r>
      <w:r w:rsidR="0E54528E">
        <w:rPr/>
        <w:t>.</w:t>
      </w:r>
    </w:p>
    <w:p w:rsidR="689CA700" w:rsidP="1C6EF2ED" w:rsidRDefault="689CA700" w14:paraId="70A2746D" w14:textId="0942FDE3">
      <w:pPr>
        <w:pStyle w:val="Normal"/>
      </w:pPr>
      <w:commentRangeStart w:id="1900257936"/>
      <w:r w:rsidR="689CA700">
        <w:rPr/>
        <w:t>(</w:t>
      </w:r>
      <w:proofErr w:type="spellStart"/>
      <w:r w:rsidR="689CA700">
        <w:rPr/>
        <w:t>i</w:t>
      </w:r>
      <w:proofErr w:type="spellEnd"/>
      <w:r w:rsidR="689CA700">
        <w:rPr/>
        <w:t xml:space="preserve">) </w:t>
      </w:r>
      <w:r w:rsidR="40884648">
        <w:rPr/>
        <w:t xml:space="preserve">Soil organic carbon (SOC) is derived from </w:t>
      </w:r>
      <w:r w:rsidR="49817C60">
        <w:rPr/>
        <w:t>the information provided by the global soil organic carbon (GSOC) map (version 1.2.0) (</w:t>
      </w:r>
      <w:r w:rsidR="24D6306A">
        <w:rPr/>
        <w:t>Brus et. al., 2017</w:t>
      </w:r>
      <w:r w:rsidR="49817C60">
        <w:rPr/>
        <w:t>)</w:t>
      </w:r>
      <w:r w:rsidR="2D2FBC7A">
        <w:rPr/>
        <w:t>, a global dataset which quantifies the amount of organic carbon in the first 30 cm of soil with a spatial resolution of 1 km.</w:t>
      </w:r>
      <w:r w:rsidR="4C49D16A">
        <w:rPr/>
        <w:t xml:space="preserve"> This dataset was produced through the efforts of the </w:t>
      </w:r>
      <w:r w:rsidR="070B9D40">
        <w:rPr/>
        <w:t>Global Soil Partnership</w:t>
      </w:r>
      <w:r w:rsidR="0F364A22">
        <w:rPr/>
        <w:t xml:space="preserve"> </w:t>
      </w:r>
      <w:r w:rsidR="0F364A22">
        <w:rPr/>
        <w:t xml:space="preserve">was produced in a collaborative effort in which countries developed their </w:t>
      </w:r>
      <w:r w:rsidR="0F364A22">
        <w:rPr/>
        <w:t>capacities</w:t>
      </w:r>
      <w:r w:rsidR="0F364A22">
        <w:rPr/>
        <w:t xml:space="preserve"> to collect and compile </w:t>
      </w:r>
      <w:r w:rsidR="0A1181DA">
        <w:rPr/>
        <w:t>national available data</w:t>
      </w:r>
      <w:r w:rsidR="0F364A22">
        <w:rPr/>
        <w:t>.</w:t>
      </w:r>
      <w:r w:rsidR="070B9D40">
        <w:rPr/>
        <w:t xml:space="preserve"> </w:t>
      </w:r>
      <w:r w:rsidR="31C7DCC3">
        <w:rPr/>
        <w:t>The data</w:t>
      </w:r>
      <w:r w:rsidR="77BAC826">
        <w:rPr/>
        <w:t xml:space="preserve"> is available at </w:t>
      </w:r>
      <w:hyperlink r:id="R015268a25edd45cb">
        <w:r w:rsidRPr="1C6EF2ED" w:rsidR="10A01ED9">
          <w:rPr>
            <w:rStyle w:val="Hyperlink"/>
          </w:rPr>
          <w:t>http://www.fao.org/global-soil-partnership/pillars-action/4-information-and-data-new/global-soil-organic-carbon-gsoc-map/en/.</w:t>
        </w:r>
      </w:hyperlink>
      <w:r w:rsidR="10A01ED9">
        <w:rPr/>
        <w:t xml:space="preserve"> </w:t>
      </w:r>
      <w:r w:rsidR="3CC43A52">
        <w:rPr/>
        <w:t>The da</w:t>
      </w:r>
      <w:r w:rsidR="486AD624">
        <w:rPr/>
        <w:t>t</w:t>
      </w:r>
      <w:r w:rsidR="3CC43A52">
        <w:rPr/>
        <w:t xml:space="preserve">a compiled </w:t>
      </w:r>
      <w:r w:rsidR="7975917B">
        <w:rPr/>
        <w:t xml:space="preserve">independently and generated a </w:t>
      </w:r>
      <w:r w:rsidR="18312560">
        <w:rPr/>
        <w:t xml:space="preserve">single SOC map in each country </w:t>
      </w:r>
      <w:r w:rsidR="18312560">
        <w:rPr/>
        <w:t>continuous SOC map through predictions or extrapolations, involving covariates that were shown to be related to SOC levels in the sampled locations and hence useful to provide SOC estimates in the unsampled locations, similar to o</w:t>
      </w:r>
      <w:r w:rsidR="42A79C70">
        <w:rPr/>
        <w:t>ther soil mapping efforts (</w:t>
      </w:r>
      <w:r w:rsidR="635171C2">
        <w:rPr/>
        <w:t>Hengl et al., 2017; Hengl et al., 2021</w:t>
      </w:r>
      <w:r w:rsidR="42A79C70">
        <w:rPr/>
        <w:t>)</w:t>
      </w:r>
      <w:r w:rsidR="18312560">
        <w:rPr/>
        <w:t>.</w:t>
      </w:r>
      <w:r w:rsidR="1D61470E">
        <w:rPr/>
        <w:t xml:space="preserve"> The national SOC maps were then combined into a continuous global dataset.</w:t>
      </w:r>
      <w:commentRangeEnd w:id="1900257936"/>
      <w:r>
        <w:rPr>
          <w:rStyle w:val="CommentReference"/>
        </w:rPr>
        <w:commentReference w:id="1900257936"/>
      </w:r>
    </w:p>
    <w:p w:rsidR="09B4D464" w:rsidP="1C6EF2ED" w:rsidRDefault="09B4D464" w14:paraId="2963A12C" w14:textId="1715F85C">
      <w:pPr>
        <w:pStyle w:val="Normal"/>
      </w:pPr>
      <w:commentRangeStart w:id="1585813218"/>
      <w:r w:rsidR="09B4D464">
        <w:rPr/>
        <w:t>(ii) Aboveground biomass carbon (A</w:t>
      </w:r>
      <w:r w:rsidR="400FEA14">
        <w:rPr/>
        <w:t>B</w:t>
      </w:r>
      <w:r w:rsidR="09B4D464">
        <w:rPr/>
        <w:t xml:space="preserve">C) </w:t>
      </w:r>
      <w:r w:rsidR="34C272F2">
        <w:rPr/>
        <w:t xml:space="preserve">is </w:t>
      </w:r>
      <w:r w:rsidR="03FAD382">
        <w:rPr/>
        <w:t xml:space="preserve">itself an </w:t>
      </w:r>
      <w:r w:rsidR="03FAD382">
        <w:rPr/>
        <w:t>approximation</w:t>
      </w:r>
      <w:r w:rsidR="03FAD382">
        <w:rPr/>
        <w:t xml:space="preserve"> derived from aboveground biomass data. </w:t>
      </w:r>
      <w:r w:rsidR="1071B51D">
        <w:rPr/>
        <w:t xml:space="preserve">Biomass is considered as the oven-dry mass of the woody parts (stem, bark, </w:t>
      </w:r>
      <w:r w:rsidR="1071B51D">
        <w:rPr/>
        <w:t>branches</w:t>
      </w:r>
      <w:r w:rsidR="1071B51D">
        <w:rPr/>
        <w:t xml:space="preserve"> and twigs) of all living trees</w:t>
      </w:r>
      <w:r w:rsidR="18443217">
        <w:rPr/>
        <w:t xml:space="preserve">. Shrubs, low bushes, </w:t>
      </w:r>
      <w:r w:rsidR="18443217">
        <w:rPr/>
        <w:t>grasslands</w:t>
      </w:r>
      <w:r w:rsidR="18443217">
        <w:rPr/>
        <w:t xml:space="preserve"> and cropland are not considered. </w:t>
      </w:r>
      <w:r w:rsidR="56887CD7">
        <w:rPr/>
        <w:t>Carbon stocks</w:t>
      </w:r>
      <w:r w:rsidR="03FAD382">
        <w:rPr/>
        <w:t xml:space="preserve"> </w:t>
      </w:r>
      <w:r w:rsidR="7AEA92C7">
        <w:rPr/>
        <w:t xml:space="preserve">from </w:t>
      </w:r>
      <w:r w:rsidR="44257876">
        <w:rPr/>
        <w:t>tree</w:t>
      </w:r>
      <w:r w:rsidR="7AEA92C7">
        <w:rPr/>
        <w:t xml:space="preserve">s </w:t>
      </w:r>
      <w:r w:rsidR="03FAD382">
        <w:rPr/>
        <w:t>w</w:t>
      </w:r>
      <w:r w:rsidR="595835B4">
        <w:rPr/>
        <w:t>ere</w:t>
      </w:r>
      <w:r w:rsidR="03FAD382">
        <w:rPr/>
        <w:t xml:space="preserve"> obtained </w:t>
      </w:r>
      <w:r w:rsidR="7820F19F">
        <w:rPr/>
        <w:t xml:space="preserve">by </w:t>
      </w:r>
      <w:r w:rsidR="03FAD382">
        <w:rPr/>
        <w:t xml:space="preserve">applying a </w:t>
      </w:r>
      <w:r w:rsidR="48860E25">
        <w:rPr/>
        <w:t>conversion factor</w:t>
      </w:r>
      <w:r w:rsidR="497A05B0">
        <w:rPr/>
        <w:t xml:space="preserve"> of 0.5</w:t>
      </w:r>
      <w:r w:rsidR="42582C82">
        <w:rPr/>
        <w:t xml:space="preserve"> to the total biomass. </w:t>
      </w:r>
      <w:r w:rsidR="0B5BE8B0">
        <w:rPr/>
        <w:t xml:space="preserve">This value </w:t>
      </w:r>
      <w:r w:rsidR="0C27150F">
        <w:rPr/>
        <w:t>represents</w:t>
      </w:r>
      <w:r w:rsidR="0C27150F">
        <w:rPr/>
        <w:t xml:space="preserve"> a good </w:t>
      </w:r>
      <w:r w:rsidR="0C27150F">
        <w:rPr/>
        <w:t>approximation</w:t>
      </w:r>
      <w:r w:rsidR="0C27150F">
        <w:rPr/>
        <w:t xml:space="preserve"> </w:t>
      </w:r>
      <w:r w:rsidR="0C27150F">
        <w:rPr/>
        <w:t xml:space="preserve">of the typical carbon content in </w:t>
      </w:r>
      <w:r w:rsidR="0B693207">
        <w:rPr/>
        <w:t xml:space="preserve">the </w:t>
      </w:r>
      <w:r w:rsidR="0C27150F">
        <w:rPr/>
        <w:t xml:space="preserve">biomass of terrestrial vegetation, and is consistent with the Good Practice Guidance in LULUCF by the </w:t>
      </w:r>
      <w:r w:rsidR="0C27150F">
        <w:rPr/>
        <w:t>IPCC</w:t>
      </w:r>
      <w:r w:rsidR="0C27150F">
        <w:rPr/>
        <w:t xml:space="preserve"> (2003) and with other related assessments (</w:t>
      </w:r>
      <w:r w:rsidR="0C27150F">
        <w:rPr/>
        <w:t>Baccini et al., 2017; Zarin et al., 2016; Achard et al., 2014)</w:t>
      </w:r>
      <w:r w:rsidR="0A246962">
        <w:rPr/>
        <w:t xml:space="preserve">. </w:t>
      </w:r>
      <w:r w:rsidR="3D9E2631">
        <w:rPr/>
        <w:t>As biomass reference data, t</w:t>
      </w:r>
      <w:r w:rsidR="0A246962">
        <w:rPr/>
        <w:t>his study</w:t>
      </w:r>
      <w:r w:rsidR="388E6985">
        <w:rPr/>
        <w:t xml:space="preserve"> uses</w:t>
      </w:r>
      <w:r w:rsidR="0A246962">
        <w:rPr/>
        <w:t xml:space="preserve"> </w:t>
      </w:r>
      <w:r w:rsidR="5CA1AB84">
        <w:rPr/>
        <w:t>the global terrestrial biomass map derived from Earth Observation data</w:t>
      </w:r>
      <w:r w:rsidR="4B3B6A1F">
        <w:rPr/>
        <w:t xml:space="preserve"> and based on 2010 data. Th</w:t>
      </w:r>
      <w:r w:rsidR="24C48923">
        <w:rPr/>
        <w:t>e</w:t>
      </w:r>
      <w:r w:rsidR="4B3B6A1F">
        <w:rPr/>
        <w:t xml:space="preserve"> dataset was developed</w:t>
      </w:r>
      <w:r w:rsidR="5CA1AB84">
        <w:rPr/>
        <w:t xml:space="preserve"> in the framework of the </w:t>
      </w:r>
      <w:proofErr w:type="spellStart"/>
      <w:r w:rsidR="5CA1AB84">
        <w:rPr/>
        <w:t>GlobBiomass</w:t>
      </w:r>
      <w:proofErr w:type="spellEnd"/>
      <w:r w:rsidR="5CA1AB84">
        <w:rPr/>
        <w:t xml:space="preserve"> project</w:t>
      </w:r>
      <w:r w:rsidR="1D1873F3">
        <w:rPr/>
        <w:t xml:space="preserve"> and </w:t>
      </w:r>
      <w:r w:rsidR="5CA1AB84">
        <w:rPr/>
        <w:t xml:space="preserve">is a global dataset </w:t>
      </w:r>
      <w:r w:rsidR="0DF9E455">
        <w:rPr/>
        <w:t xml:space="preserve">is derived from several </w:t>
      </w:r>
      <w:r w:rsidR="5B8CC9B5">
        <w:rPr/>
        <w:t xml:space="preserve">missions (Envisat, Landsat, ICESAT) and different sensors (SAR, LiDAR, optical) </w:t>
      </w:r>
      <w:r w:rsidR="5CA1AB84">
        <w:rPr/>
        <w:t xml:space="preserve">at </w:t>
      </w:r>
      <w:r w:rsidR="5CA1AB84">
        <w:rPr/>
        <w:t>100 m</w:t>
      </w:r>
      <w:r w:rsidR="5CA1AB84">
        <w:rPr/>
        <w:t xml:space="preserve"> spatial resolution</w:t>
      </w:r>
      <w:r w:rsidR="015ED5F5">
        <w:rPr/>
        <w:t xml:space="preserve"> (Santoro et al., 2018)</w:t>
      </w:r>
      <w:r w:rsidR="7ED30A56">
        <w:rPr/>
        <w:t xml:space="preserve">. Overall, the </w:t>
      </w:r>
      <w:proofErr w:type="spellStart"/>
      <w:r w:rsidR="7ED30A56">
        <w:rPr/>
        <w:t>GlobBiomass</w:t>
      </w:r>
      <w:proofErr w:type="spellEnd"/>
      <w:r w:rsidR="7ED30A56">
        <w:rPr/>
        <w:t xml:space="preserve"> dataset </w:t>
      </w:r>
      <w:r w:rsidR="7ED30A56">
        <w:rPr/>
        <w:t>performs appropriately in estimating AGB in all biomes, as assessed over a significant set of locations with independent in situ reference data (</w:t>
      </w:r>
      <w:r w:rsidR="062CC653">
        <w:rPr/>
        <w:t>Santoro et al.</w:t>
      </w:r>
      <w:r w:rsidR="7ED30A56">
        <w:rPr/>
        <w:t>, 20</w:t>
      </w:r>
      <w:r w:rsidR="2BB1F8E8">
        <w:rPr/>
        <w:t>21</w:t>
      </w:r>
      <w:r w:rsidR="7ED30A56">
        <w:rPr/>
        <w:t>)</w:t>
      </w:r>
      <w:r w:rsidR="17AFF201">
        <w:rPr/>
        <w:t xml:space="preserve">. </w:t>
      </w:r>
      <w:r w:rsidR="30A74F19">
        <w:rPr/>
        <w:t>It is</w:t>
      </w:r>
      <w:r w:rsidR="5CA1AB84">
        <w:rPr/>
        <w:t xml:space="preserve"> available at </w:t>
      </w:r>
      <w:hyperlink r:id="Ra0dc527e03bf4f6e">
        <w:r w:rsidRPr="1C6EF2ED" w:rsidR="1CB75841">
          <w:rPr>
            <w:rStyle w:val="Hyperlink"/>
          </w:rPr>
          <w:t>http://globbiomass.org</w:t>
        </w:r>
      </w:hyperlink>
      <w:r w:rsidR="1CB75841">
        <w:rPr/>
        <w:t>.</w:t>
      </w:r>
      <w:commentRangeEnd w:id="1585813218"/>
      <w:r>
        <w:rPr>
          <w:rStyle w:val="CommentReference"/>
        </w:rPr>
        <w:commentReference w:id="1585813218"/>
      </w:r>
    </w:p>
    <w:p w:rsidR="3B404488" w:rsidP="1C6EF2ED" w:rsidRDefault="3B404488" w14:paraId="1202450C" w14:textId="4DA3926B">
      <w:pPr>
        <w:pStyle w:val="Normal"/>
      </w:pPr>
      <w:commentRangeStart w:id="1270327235"/>
      <w:r w:rsidR="3B404488">
        <w:rPr/>
        <w:t>(iii) Belowground biomass carbon (B</w:t>
      </w:r>
      <w:r w:rsidR="1250F7CF">
        <w:rPr/>
        <w:t>B</w:t>
      </w:r>
      <w:r w:rsidR="3B404488">
        <w:rPr/>
        <w:t>C)</w:t>
      </w:r>
      <w:r w:rsidR="4E446879">
        <w:rPr/>
        <w:t xml:space="preserve"> is derived from the ABC</w:t>
      </w:r>
      <w:r w:rsidR="33DA340E">
        <w:rPr/>
        <w:t xml:space="preserve"> and </w:t>
      </w:r>
      <w:r w:rsidR="3C8D72C6">
        <w:rPr/>
        <w:t>express</w:t>
      </w:r>
      <w:r w:rsidR="390FC743">
        <w:rPr/>
        <w:t>es</w:t>
      </w:r>
      <w:r w:rsidR="3C8D72C6">
        <w:rPr/>
        <w:t xml:space="preserve"> </w:t>
      </w:r>
      <w:r w:rsidR="3C8D72C6">
        <w:rPr/>
        <w:t xml:space="preserve">an estimation of the carbon stored in roots of </w:t>
      </w:r>
      <w:r w:rsidR="0C91FE53">
        <w:rPr/>
        <w:t xml:space="preserve">living </w:t>
      </w:r>
      <w:r w:rsidR="3C8D72C6">
        <w:rPr/>
        <w:t xml:space="preserve">trees. </w:t>
      </w:r>
      <w:r w:rsidR="56A73FA2">
        <w:rPr/>
        <w:t xml:space="preserve">This carbon pool is calculated as a fraction of the ABC stocks using root-to-shoot ratios (R) </w:t>
      </w:r>
      <w:r w:rsidR="515F3EA2">
        <w:rPr/>
        <w:t>from</w:t>
      </w:r>
      <w:r w:rsidR="56A73FA2">
        <w:rPr/>
        <w:t xml:space="preserve"> two main data sources: the ABC data </w:t>
      </w:r>
      <w:r w:rsidR="42E624C9">
        <w:rPr/>
        <w:t xml:space="preserve">and </w:t>
      </w:r>
      <w:r w:rsidR="35DE146D">
        <w:rPr/>
        <w:t>ratio</w:t>
      </w:r>
      <w:r w:rsidR="11F0903A">
        <w:rPr/>
        <w:t>s</w:t>
      </w:r>
      <w:r w:rsidR="35DE146D">
        <w:rPr/>
        <w:t xml:space="preserve"> of below-ground biomass to above-ground biomass</w:t>
      </w:r>
      <w:r w:rsidR="42E624C9">
        <w:rPr/>
        <w:t xml:space="preserve"> (IPCC, 2019).</w:t>
      </w:r>
      <w:r w:rsidR="6941CE9D">
        <w:rPr/>
        <w:t xml:space="preserve"> Root systems are a long-term stable carbon pool which can account for up to 40% of the </w:t>
      </w:r>
      <w:r w:rsidR="2E40C276">
        <w:rPr/>
        <w:t xml:space="preserve">total </w:t>
      </w:r>
      <w:r w:rsidR="6941CE9D">
        <w:rPr/>
        <w:t>aboveground biomass</w:t>
      </w:r>
      <w:r w:rsidR="4E47F256">
        <w:rPr/>
        <w:t xml:space="preserve"> (Reich et al., 2014). </w:t>
      </w:r>
      <w:r w:rsidR="316851A2">
        <w:rPr/>
        <w:t>The IPCC Root-to-shoot ratios depend on the biogeographic conditions (ecozone), forest type, forest origin (natural or planted) and aboveground biomass density (Table 4.4 of IPCC, 2019). However, while the aboveground biomass data</w:t>
      </w:r>
      <w:r w:rsidR="3C43C115">
        <w:rPr/>
        <w:t xml:space="preserve"> has a global coverage, </w:t>
      </w:r>
      <w:r w:rsidR="3C43C115">
        <w:rPr/>
        <w:t xml:space="preserve">the IPCC ratios are not available for all existing combinations of the parameters necessary to calculate them. </w:t>
      </w:r>
      <w:r w:rsidR="3C43C115">
        <w:rPr/>
        <w:t>In order to estimate the root-to-shoot ratios in the classes not represented in the IPCC table the following assumptions were made: (</w:t>
      </w:r>
      <w:proofErr w:type="spellStart"/>
      <w:r w:rsidR="3C43C115">
        <w:rPr/>
        <w:t>i</w:t>
      </w:r>
      <w:proofErr w:type="spellEnd"/>
      <w:r w:rsidR="3C43C115">
        <w:rPr/>
        <w:t>) in missing ecozones</w:t>
      </w:r>
      <w:r w:rsidR="6E0C5F74">
        <w:rPr/>
        <w:t xml:space="preserve"> use</w:t>
      </w:r>
      <w:r w:rsidR="3C43C115">
        <w:rPr/>
        <w:t xml:space="preserve"> </w:t>
      </w:r>
      <w:r w:rsidR="0E0CBBFE">
        <w:rPr/>
        <w:t>the ratio for the most similar</w:t>
      </w:r>
      <w:r w:rsidR="0509763F">
        <w:rPr/>
        <w:t xml:space="preserve"> </w:t>
      </w:r>
      <w:r w:rsidR="0E0CBBFE">
        <w:rPr/>
        <w:t>ecozone included in the IPCC table</w:t>
      </w:r>
      <w:r w:rsidR="2AC3083D">
        <w:rPr/>
        <w:t>, considering physiological allocation of biomass (</w:t>
      </w:r>
      <w:r w:rsidR="2AC3083D">
        <w:rPr/>
        <w:t>i</w:t>
      </w:r>
      <w:r w:rsidR="2AC3083D">
        <w:rPr/>
        <w:t>.e., higher ratios for dry ecozones</w:t>
      </w:r>
      <w:r w:rsidR="2AC3083D">
        <w:rPr/>
        <w:t xml:space="preserve">); (ii) in case of missing continents in the IPCC </w:t>
      </w:r>
      <w:r w:rsidR="40BF9B89">
        <w:rPr/>
        <w:t xml:space="preserve">table, </w:t>
      </w:r>
      <w:r w:rsidR="40BF9B89">
        <w:rPr/>
        <w:t xml:space="preserve">use the average ratio available for other continents located in the same ecozone and same biomass class; (iii) for missing origin, </w:t>
      </w:r>
      <w:r w:rsidR="40BF9B89">
        <w:rPr/>
        <w:t xml:space="preserve">use the ratio for the same </w:t>
      </w:r>
      <w:r w:rsidR="3E796A44">
        <w:rPr/>
        <w:t>f</w:t>
      </w:r>
      <w:r w:rsidR="40BF9B89">
        <w:rPr/>
        <w:t xml:space="preserve">orest type </w:t>
      </w:r>
      <w:r w:rsidR="1B4B60F1">
        <w:rPr/>
        <w:t xml:space="preserve">(broadleaf or conifer) </w:t>
      </w:r>
      <w:r w:rsidR="40BF9B89">
        <w:rPr/>
        <w:t>but different forest origin</w:t>
      </w:r>
      <w:r w:rsidR="17A9FEFF">
        <w:rPr/>
        <w:t>; (iv) for missing f</w:t>
      </w:r>
      <w:r w:rsidR="7600EF2C">
        <w:rPr/>
        <w:t>orest type</w:t>
      </w:r>
      <w:r w:rsidR="34E4EB67">
        <w:rPr/>
        <w:t xml:space="preserve"> use the closest forest type; </w:t>
      </w:r>
      <w:r w:rsidR="16E55C22">
        <w:rPr/>
        <w:t>(v) in case of missing aboveground biomass range use an available range</w:t>
      </w:r>
      <w:r w:rsidR="57B57280">
        <w:rPr/>
        <w:t>.</w:t>
      </w:r>
      <w:r w:rsidR="16E55C22">
        <w:rPr/>
        <w:t xml:space="preserve"> </w:t>
      </w:r>
      <w:r w:rsidR="74BDCC74">
        <w:rPr/>
        <w:t>Ancillary datasets necessary to map root-to-shoot ratios are</w:t>
      </w:r>
      <w:r w:rsidR="18737F8E">
        <w:rPr/>
        <w:t xml:space="preserve">: (a) </w:t>
      </w:r>
      <w:r w:rsidR="41A843B3">
        <w:rPr/>
        <w:t xml:space="preserve">Spatial dataset of the ecological zones from </w:t>
      </w:r>
      <w:r w:rsidR="41A843B3">
        <w:rPr/>
        <w:t>FAO</w:t>
      </w:r>
      <w:r w:rsidR="41A843B3">
        <w:rPr/>
        <w:t xml:space="preserve"> (2012); (b) Land cover map for the year 2017 (</w:t>
      </w:r>
      <w:r w:rsidR="4779A286">
        <w:rPr/>
        <w:t xml:space="preserve">ESA </w:t>
      </w:r>
      <w:r w:rsidR="41A843B3">
        <w:rPr/>
        <w:t xml:space="preserve">Land Cover CCI, 2017); (c) </w:t>
      </w:r>
      <w:r w:rsidR="18737F8E">
        <w:rPr/>
        <w:t>Spatial</w:t>
      </w:r>
      <w:r w:rsidR="2BCEB5E4">
        <w:rPr/>
        <w:t xml:space="preserve"> </w:t>
      </w:r>
      <w:r w:rsidR="18737F8E">
        <w:rPr/>
        <w:t>Database</w:t>
      </w:r>
      <w:r w:rsidR="0E39C128">
        <w:rPr/>
        <w:t xml:space="preserve"> </w:t>
      </w:r>
      <w:r w:rsidR="18737F8E">
        <w:rPr/>
        <w:t>of Planted</w:t>
      </w:r>
      <w:r w:rsidR="300734B3">
        <w:rPr/>
        <w:t xml:space="preserve"> </w:t>
      </w:r>
      <w:r w:rsidR="18737F8E">
        <w:rPr/>
        <w:t>Trees</w:t>
      </w:r>
      <w:r w:rsidR="3D178036">
        <w:rPr/>
        <w:t xml:space="preserve"> </w:t>
      </w:r>
      <w:r w:rsidR="18737F8E">
        <w:rPr/>
        <w:t>used</w:t>
      </w:r>
      <w:r w:rsidR="584CE100">
        <w:rPr/>
        <w:t xml:space="preserve"> </w:t>
      </w:r>
      <w:r w:rsidR="18737F8E">
        <w:rPr/>
        <w:t>to</w:t>
      </w:r>
      <w:r w:rsidR="4EDBBF40">
        <w:rPr/>
        <w:t xml:space="preserve"> </w:t>
      </w:r>
      <w:r w:rsidR="18737F8E">
        <w:rPr/>
        <w:t>identify</w:t>
      </w:r>
      <w:r w:rsidR="5114A21E">
        <w:rPr/>
        <w:t xml:space="preserve"> </w:t>
      </w:r>
      <w:r w:rsidR="18737F8E">
        <w:rPr/>
        <w:t>the</w:t>
      </w:r>
      <w:r w:rsidR="310C27DE">
        <w:rPr/>
        <w:t xml:space="preserve"> </w:t>
      </w:r>
      <w:r w:rsidR="18737F8E">
        <w:rPr/>
        <w:t>forest</w:t>
      </w:r>
      <w:r w:rsidR="61E729E2">
        <w:rPr/>
        <w:t xml:space="preserve"> </w:t>
      </w:r>
      <w:r w:rsidR="18737F8E">
        <w:rPr/>
        <w:t>origin</w:t>
      </w:r>
      <w:r w:rsidR="0B426CE2">
        <w:rPr/>
        <w:t xml:space="preserve"> </w:t>
      </w:r>
      <w:r w:rsidR="18737F8E">
        <w:rPr/>
        <w:t>(Harris</w:t>
      </w:r>
      <w:r w:rsidR="08554556">
        <w:rPr/>
        <w:t xml:space="preserve"> </w:t>
      </w:r>
      <w:r w:rsidR="18737F8E">
        <w:rPr/>
        <w:t>et</w:t>
      </w:r>
      <w:r w:rsidR="6EE674B5">
        <w:rPr/>
        <w:t xml:space="preserve"> </w:t>
      </w:r>
      <w:r w:rsidR="18737F8E">
        <w:rPr/>
        <w:t>al.,</w:t>
      </w:r>
      <w:r w:rsidR="0B27E3B9">
        <w:rPr/>
        <w:t xml:space="preserve"> </w:t>
      </w:r>
      <w:r w:rsidR="18737F8E">
        <w:rPr/>
        <w:t>2019);</w:t>
      </w:r>
      <w:r w:rsidR="24B815B7">
        <w:rPr/>
        <w:t xml:space="preserve"> </w:t>
      </w:r>
      <w:r w:rsidR="2D4C073F">
        <w:rPr/>
        <w:t>and (d) Statistical mapping of tree species over Europe (Brus et al., 2011).</w:t>
      </w:r>
      <w:r w:rsidR="3316E39E">
        <w:rPr/>
        <w:t xml:space="preserve"> Similarly, as for the ABC, a 0.5</w:t>
      </w:r>
      <w:r w:rsidR="4D6AB8B4">
        <w:rPr/>
        <w:t xml:space="preserve"> biomass to carbon conversion factor was applied, in line with good practices and recommendations from the scientific community (I</w:t>
      </w:r>
      <w:r w:rsidR="49E9053D">
        <w:rPr/>
        <w:t>PCC, 2003; Baccini et al., 2017; Zarin et al., 2016; Achard et al., 2014</w:t>
      </w:r>
      <w:r w:rsidR="4D6AB8B4">
        <w:rPr/>
        <w:t>)</w:t>
      </w:r>
      <w:r w:rsidR="3DA59973">
        <w:rPr/>
        <w:t>.</w:t>
      </w:r>
      <w:commentRangeEnd w:id="1270327235"/>
      <w:r>
        <w:rPr>
          <w:rStyle w:val="CommentReference"/>
        </w:rPr>
        <w:commentReference w:id="1270327235"/>
      </w:r>
    </w:p>
    <w:p w:rsidR="09A33603" w:rsidP="1C6EF2ED" w:rsidRDefault="09A33603" w14:paraId="23292226" w14:textId="59247186">
      <w:pPr>
        <w:pStyle w:val="Normal"/>
      </w:pPr>
      <w:r w:rsidR="09A33603">
        <w:rPr/>
        <w:t xml:space="preserve">For this analysis, the </w:t>
      </w:r>
      <w:r w:rsidR="2B9DD8DA">
        <w:rPr/>
        <w:t>total carbon stocks</w:t>
      </w:r>
      <w:r w:rsidR="09A33603">
        <w:rPr/>
        <w:t xml:space="preserve"> in the three mentioned pools are considered. </w:t>
      </w:r>
      <w:r w:rsidR="71F45003">
        <w:rPr/>
        <w:t>All three carbon datasets (SOC, ABC and BBC) were brought to the same spatial definitions (resolution and extent)</w:t>
      </w:r>
      <w:r w:rsidR="7A80A8FE">
        <w:rPr/>
        <w:t>. To avoid oversampling artifacts, ABC and BBC were brought to the SOC spatial resolution and summed to calculate the total carbon in each 1km x 1km pixel</w:t>
      </w:r>
      <w:r w:rsidR="53D78D8A">
        <w:rPr/>
        <w:t>, resulting in a density measure of carbon (</w:t>
      </w:r>
      <w:r w:rsidR="32F90788">
        <w:rPr/>
        <w:t>Mg C/km</w:t>
      </w:r>
      <w:r w:rsidRPr="1C6EF2ED" w:rsidR="32F90788">
        <w:rPr>
          <w:vertAlign w:val="superscript"/>
        </w:rPr>
        <w:t>2</w:t>
      </w:r>
      <w:r w:rsidR="53D78D8A">
        <w:rPr/>
        <w:t>) in forested areas.</w:t>
      </w:r>
      <w:r w:rsidR="1C30350F">
        <w:rPr/>
        <w:t xml:space="preserve"> </w:t>
      </w:r>
      <w:r w:rsidR="468C8399">
        <w:rPr/>
        <w:t xml:space="preserve">Although soil data from </w:t>
      </w:r>
      <w:r w:rsidR="042ADBDC">
        <w:rPr/>
        <w:t>GSOC map has not reference dat</w:t>
      </w:r>
      <w:r w:rsidR="75ACA230">
        <w:rPr/>
        <w:t xml:space="preserve">e and is </w:t>
      </w:r>
      <w:r w:rsidR="042ADBDC">
        <w:rPr/>
        <w:t>compiled from national soil carbon inventories collected at different times</w:t>
      </w:r>
      <w:r w:rsidR="7EF1CD21">
        <w:rPr/>
        <w:t>, it is recommended to be used as a baseline dataset (</w:t>
      </w:r>
      <w:commentRangeStart w:id="1973788522"/>
      <w:r w:rsidR="5CA1722D">
        <w:rPr/>
        <w:t>FAO &amp; ITPS, 2020</w:t>
      </w:r>
      <w:commentRangeEnd w:id="1973788522"/>
      <w:r>
        <w:rPr>
          <w:rStyle w:val="CommentReference"/>
        </w:rPr>
        <w:commentReference w:id="1973788522"/>
      </w:r>
      <w:r w:rsidR="7EF1CD21">
        <w:rPr/>
        <w:t>).</w:t>
      </w:r>
      <w:r w:rsidR="2A72A53B">
        <w:rPr/>
        <w:t xml:space="preserve"> </w:t>
      </w:r>
      <w:r w:rsidR="7435D0B9">
        <w:rPr/>
        <w:t>Given that organic soil carbon a relatively stable stock,</w:t>
      </w:r>
      <w:r w:rsidR="2A72A53B">
        <w:rPr/>
        <w:t xml:space="preserve"> it is assumed that the reference year for the total carbon stocks presented in this study is the year 2010.</w:t>
      </w:r>
    </w:p>
    <w:p w:rsidR="7B3F24C2" w:rsidP="1C6EF2ED" w:rsidRDefault="7B3F24C2" w14:paraId="17F26D4A" w14:textId="4527492C">
      <w:pPr>
        <w:pStyle w:val="Normal"/>
      </w:pPr>
      <w:commentRangeStart w:id="1035580028"/>
      <w:r w:rsidR="7B3F24C2">
        <w:drawing>
          <wp:inline wp14:editId="3E5897DB" wp14:anchorId="41AB7536">
            <wp:extent cx="2847975" cy="1433116"/>
            <wp:effectExtent l="0" t="0" r="0" b="0"/>
            <wp:docPr id="2066134715" name="" title=""/>
            <wp:cNvGraphicFramePr>
              <a:graphicFrameLocks noChangeAspect="1"/>
            </wp:cNvGraphicFramePr>
            <a:graphic>
              <a:graphicData uri="http://schemas.openxmlformats.org/drawingml/2006/picture">
                <pic:pic>
                  <pic:nvPicPr>
                    <pic:cNvPr id="0" name=""/>
                    <pic:cNvPicPr/>
                  </pic:nvPicPr>
                  <pic:blipFill>
                    <a:blip r:embed="Rf1fb795ed6cb48bb">
                      <a:extLst>
                        <a:ext xmlns:a="http://schemas.openxmlformats.org/drawingml/2006/main" uri="{28A0092B-C50C-407E-A947-70E740481C1C}">
                          <a14:useLocalDpi val="0"/>
                        </a:ext>
                      </a:extLst>
                    </a:blip>
                    <a:stretch>
                      <a:fillRect/>
                    </a:stretch>
                  </pic:blipFill>
                  <pic:spPr>
                    <a:xfrm>
                      <a:off x="0" y="0"/>
                      <a:ext cx="2847975" cy="1433116"/>
                    </a:xfrm>
                    <a:prstGeom prst="rect">
                      <a:avLst/>
                    </a:prstGeom>
                  </pic:spPr>
                </pic:pic>
              </a:graphicData>
            </a:graphic>
          </wp:inline>
        </w:drawing>
      </w:r>
      <w:r w:rsidR="7B3F24C2">
        <w:drawing>
          <wp:inline wp14:editId="3A13277A" wp14:anchorId="03377403">
            <wp:extent cx="2857437" cy="1437877"/>
            <wp:effectExtent l="0" t="0" r="0" b="0"/>
            <wp:docPr id="525869849" name="" title=""/>
            <wp:cNvGraphicFramePr>
              <a:graphicFrameLocks noChangeAspect="1"/>
            </wp:cNvGraphicFramePr>
            <a:graphic>
              <a:graphicData uri="http://schemas.openxmlformats.org/drawingml/2006/picture">
                <pic:pic>
                  <pic:nvPicPr>
                    <pic:cNvPr id="0" name=""/>
                    <pic:cNvPicPr/>
                  </pic:nvPicPr>
                  <pic:blipFill>
                    <a:blip r:embed="Ra927563e348346be">
                      <a:extLst>
                        <a:ext xmlns:a="http://schemas.openxmlformats.org/drawingml/2006/main" uri="{28A0092B-C50C-407E-A947-70E740481C1C}">
                          <a14:useLocalDpi val="0"/>
                        </a:ext>
                      </a:extLst>
                    </a:blip>
                    <a:stretch>
                      <a:fillRect/>
                    </a:stretch>
                  </pic:blipFill>
                  <pic:spPr>
                    <a:xfrm>
                      <a:off x="0" y="0"/>
                      <a:ext cx="2857437" cy="1437877"/>
                    </a:xfrm>
                    <a:prstGeom prst="rect">
                      <a:avLst/>
                    </a:prstGeom>
                  </pic:spPr>
                </pic:pic>
              </a:graphicData>
            </a:graphic>
          </wp:inline>
        </w:drawing>
      </w:r>
      <w:r w:rsidR="7B3F24C2">
        <w:drawing>
          <wp:inline wp14:editId="151665AE" wp14:anchorId="352C878F">
            <wp:extent cx="2950475" cy="1579261"/>
            <wp:effectExtent l="0" t="0" r="0" b="0"/>
            <wp:docPr id="110026497" name="" title=""/>
            <wp:cNvGraphicFramePr>
              <a:graphicFrameLocks noChangeAspect="1"/>
            </wp:cNvGraphicFramePr>
            <a:graphic>
              <a:graphicData uri="http://schemas.openxmlformats.org/drawingml/2006/picture">
                <pic:pic>
                  <pic:nvPicPr>
                    <pic:cNvPr id="0" name=""/>
                    <pic:cNvPicPr/>
                  </pic:nvPicPr>
                  <pic:blipFill>
                    <a:blip r:embed="R829f8b108a794576">
                      <a:extLst>
                        <a:ext xmlns:a="http://schemas.openxmlformats.org/drawingml/2006/main" uri="{28A0092B-C50C-407E-A947-70E740481C1C}">
                          <a14:useLocalDpi val="0"/>
                        </a:ext>
                      </a:extLst>
                    </a:blip>
                    <a:stretch>
                      <a:fillRect/>
                    </a:stretch>
                  </pic:blipFill>
                  <pic:spPr>
                    <a:xfrm>
                      <a:off x="0" y="0"/>
                      <a:ext cx="2950475" cy="1579261"/>
                    </a:xfrm>
                    <a:prstGeom prst="rect">
                      <a:avLst/>
                    </a:prstGeom>
                  </pic:spPr>
                </pic:pic>
              </a:graphicData>
            </a:graphic>
          </wp:inline>
        </w:drawing>
      </w:r>
      <w:r w:rsidR="75CB892A">
        <w:drawing>
          <wp:inline wp14:editId="3F494430" wp14:anchorId="03EE4072">
            <wp:extent cx="2740761" cy="1576816"/>
            <wp:effectExtent l="0" t="0" r="0" b="0"/>
            <wp:docPr id="2026248738" name="" title=""/>
            <wp:cNvGraphicFramePr>
              <a:graphicFrameLocks noChangeAspect="1"/>
            </wp:cNvGraphicFramePr>
            <a:graphic>
              <a:graphicData uri="http://schemas.openxmlformats.org/drawingml/2006/picture">
                <pic:pic>
                  <pic:nvPicPr>
                    <pic:cNvPr id="0" name=""/>
                    <pic:cNvPicPr/>
                  </pic:nvPicPr>
                  <pic:blipFill>
                    <a:blip r:embed="Reebf956cc4dc4645">
                      <a:extLst>
                        <a:ext xmlns:a="http://schemas.openxmlformats.org/drawingml/2006/main" uri="{28A0092B-C50C-407E-A947-70E740481C1C}">
                          <a14:useLocalDpi val="0"/>
                        </a:ext>
                      </a:extLst>
                    </a:blip>
                    <a:stretch>
                      <a:fillRect/>
                    </a:stretch>
                  </pic:blipFill>
                  <pic:spPr>
                    <a:xfrm>
                      <a:off x="0" y="0"/>
                      <a:ext cx="2740761" cy="1576816"/>
                    </a:xfrm>
                    <a:prstGeom prst="rect">
                      <a:avLst/>
                    </a:prstGeom>
                  </pic:spPr>
                </pic:pic>
              </a:graphicData>
            </a:graphic>
          </wp:inline>
        </w:drawing>
      </w:r>
      <w:commentRangeEnd w:id="1035580028"/>
      <w:r>
        <w:rPr>
          <w:rStyle w:val="CommentReference"/>
        </w:rPr>
        <w:commentReference w:id="1035580028"/>
      </w:r>
    </w:p>
    <w:p w:rsidR="485B2DA0" w:rsidP="1C6EF2ED" w:rsidRDefault="485B2DA0" w14:paraId="50D3EBA4" w14:textId="3E53488C">
      <w:pPr>
        <w:pStyle w:val="Normal"/>
      </w:pPr>
      <w:r w:rsidR="485B2DA0">
        <w:rPr/>
        <w:t xml:space="preserve">Figure </w:t>
      </w:r>
      <w:r w:rsidR="6B3F5752">
        <w:rPr/>
        <w:t>X: Carbon maps</w:t>
      </w:r>
      <w:r w:rsidR="485B2DA0">
        <w:rPr/>
        <w:t xml:space="preserve">. </w:t>
      </w:r>
      <w:r w:rsidR="48C9F64A">
        <w:rPr/>
        <w:t xml:space="preserve">In clockwise order starting from top left: </w:t>
      </w:r>
      <w:r w:rsidR="485B2DA0">
        <w:rPr/>
        <w:t>Aboveground Biomass Carbon</w:t>
      </w:r>
      <w:r w:rsidR="13490D78">
        <w:rPr/>
        <w:t>, Belowground Biomass Carbon, Total Carbon and Soil Organic Carbon.</w:t>
      </w:r>
    </w:p>
    <w:p w:rsidR="4A76EDB3" w:rsidP="1C6EF2ED" w:rsidRDefault="4A76EDB3" w14:paraId="1B32297B" w14:textId="12CD751F">
      <w:pPr>
        <w:pStyle w:val="Normal"/>
      </w:pPr>
      <w:r w:rsidR="4A76EDB3">
        <w:rPr/>
        <w:t xml:space="preserve">The </w:t>
      </w:r>
      <w:r w:rsidR="36B059DF">
        <w:rPr/>
        <w:t>harmonized</w:t>
      </w:r>
      <w:r w:rsidR="1097F159">
        <w:rPr/>
        <w:t xml:space="preserve"> </w:t>
      </w:r>
      <w:r w:rsidR="4A76EDB3">
        <w:rPr/>
        <w:t xml:space="preserve">dataset of the total carbon stocks </w:t>
      </w:r>
      <w:r w:rsidR="3D7318B9">
        <w:rPr/>
        <w:t>was aggregated at PA, country and ecoregion levels.</w:t>
      </w:r>
      <w:r w:rsidR="2007014E">
        <w:rPr/>
        <w:t xml:space="preserve"> The WDPA was used to define only terrestrial protected areas as mentioned above.</w:t>
      </w:r>
      <w:r w:rsidR="3D7318B9">
        <w:rPr/>
        <w:t xml:space="preserve"> Country </w:t>
      </w:r>
      <w:r w:rsidR="1E40BDA3">
        <w:rPr/>
        <w:t xml:space="preserve">boundaries were obtained from the Global Administrative Unit Layers for </w:t>
      </w:r>
      <w:r w:rsidR="7450D16B">
        <w:rPr/>
        <w:t>the year</w:t>
      </w:r>
      <w:r w:rsidR="1E40BDA3">
        <w:rPr/>
        <w:t xml:space="preserve"> 2015, developed by the Food and Agricultural Organization (FAO) of the United Nations. </w:t>
      </w:r>
      <w:r w:rsidR="63F6E014">
        <w:rPr/>
        <w:t>Only terrestrial ecoregions (TEOW) were included as defined by Olson et al. (2001)</w:t>
      </w:r>
      <w:r w:rsidR="1F30A034">
        <w:rPr/>
        <w:t>.</w:t>
      </w:r>
      <w:r w:rsidR="3CF819DF">
        <w:rPr/>
        <w:t xml:space="preserve"> Summary statistics (min, max, mean and sum) of each protected area</w:t>
      </w:r>
      <w:r w:rsidR="53FD4E60">
        <w:rPr/>
        <w:t>, country and ecoregion</w:t>
      </w:r>
      <w:r w:rsidR="3CF819DF">
        <w:rPr/>
        <w:t xml:space="preserve"> were produced</w:t>
      </w:r>
      <w:r w:rsidR="48DBDE5A">
        <w:rPr/>
        <w:t>.</w:t>
      </w:r>
    </w:p>
    <w:p w:rsidR="7E67C9FC" w:rsidP="68A7EF9C" w:rsidRDefault="7E67C9FC" w14:paraId="0F02F3B5" w14:textId="0721B2E9">
      <w:pPr>
        <w:pStyle w:val="Heading1"/>
      </w:pPr>
      <w:r w:rsidR="464CC3FD">
        <w:rPr/>
        <w:t>Results</w:t>
      </w:r>
    </w:p>
    <w:p w:rsidR="62E6E5E0" w:rsidP="1C6EF2ED" w:rsidRDefault="62E6E5E0" w14:paraId="58FE37FF" w14:textId="77ADA12C">
      <w:pPr>
        <w:pStyle w:val="Normal"/>
        <w:rPr>
          <w:color w:val="BFBFBF" w:themeColor="background1" w:themeTint="FF" w:themeShade="BF"/>
        </w:rPr>
      </w:pPr>
      <w:r w:rsidR="62E6E5E0">
        <w:rPr/>
        <w:t xml:space="preserve">Results 1: Global assessment of the C distribution between the three pools considered and </w:t>
      </w:r>
      <w:proofErr w:type="gramStart"/>
      <w:r w:rsidR="62E6E5E0">
        <w:rPr/>
        <w:t>ho</w:t>
      </w:r>
      <w:proofErr w:type="gramEnd"/>
      <w:r w:rsidR="62E6E5E0">
        <w:rPr/>
        <w:t xml:space="preserve"> much of each pool is protected. </w:t>
      </w:r>
      <w:r w:rsidRPr="1C6EF2ED" w:rsidR="53F425F4">
        <w:rPr>
          <w:color w:val="BFBFBF" w:themeColor="background1" w:themeTint="FF" w:themeShade="BF"/>
        </w:rPr>
        <w:t xml:space="preserve">In terms of the distribution of carbon in the three pools considered, 61% is stored in SOC, 29% in </w:t>
      </w:r>
      <w:r w:rsidRPr="1C6EF2ED" w:rsidR="1C3A0949">
        <w:rPr>
          <w:color w:val="BFBFBF" w:themeColor="background1" w:themeTint="FF" w:themeShade="BF"/>
        </w:rPr>
        <w:t xml:space="preserve">ABC and 10% in BBC. </w:t>
      </w:r>
    </w:p>
    <w:p w:rsidR="5D04819E" w:rsidP="1C6EF2ED" w:rsidRDefault="5D04819E" w14:paraId="19BA3EC8" w14:textId="437A6335">
      <w:pPr>
        <w:pStyle w:val="Normal"/>
      </w:pPr>
      <w:commentRangeStart w:id="1088751056"/>
      <w:r w:rsidR="5D04819E">
        <w:rPr/>
        <w:t>Results 2: Country assessment of the major countries with carbon stocks</w:t>
      </w:r>
      <w:r w:rsidR="2A9A5DF9">
        <w:rPr/>
        <w:t>, how it is distributed in the three pools</w:t>
      </w:r>
      <w:r w:rsidR="5D04819E">
        <w:rPr/>
        <w:t xml:space="preserve"> and how much carbon is protected</w:t>
      </w:r>
      <w:r w:rsidR="5A4E4C01">
        <w:rPr/>
        <w:t xml:space="preserve"> in each country </w:t>
      </w:r>
      <w:r w:rsidR="4C3AE62C">
        <w:rPr/>
        <w:t xml:space="preserve">x </w:t>
      </w:r>
      <w:r w:rsidR="5A4E4C01">
        <w:rPr/>
        <w:t>pool</w:t>
      </w:r>
      <w:r w:rsidR="5D04819E">
        <w:rPr/>
        <w:t xml:space="preserve">. </w:t>
      </w:r>
      <w:r w:rsidRPr="1C6EF2ED" w:rsidR="357D2EA7">
        <w:rPr>
          <w:color w:val="BFBFBF" w:themeColor="background1" w:themeTint="FF" w:themeShade="BF"/>
        </w:rPr>
        <w:t xml:space="preserve">The </w:t>
      </w:r>
      <w:r w:rsidRPr="1C6EF2ED" w:rsidR="362424EE">
        <w:rPr>
          <w:color w:val="BFBFBF" w:themeColor="background1" w:themeTint="FF" w:themeShade="BF"/>
        </w:rPr>
        <w:t>largest</w:t>
      </w:r>
      <w:r w:rsidRPr="1C6EF2ED" w:rsidR="357D2EA7">
        <w:rPr>
          <w:color w:val="BFBFBF" w:themeColor="background1" w:themeTint="FF" w:themeShade="BF"/>
        </w:rPr>
        <w:t xml:space="preserve"> stocks of protected carbon are located in </w:t>
      </w:r>
      <w:r w:rsidRPr="1C6EF2ED" w:rsidR="2C64EC3B">
        <w:rPr>
          <w:color w:val="BFBFBF" w:themeColor="background1" w:themeTint="FF" w:themeShade="BF"/>
        </w:rPr>
        <w:t>Brazil</w:t>
      </w:r>
      <w:r w:rsidRPr="1C6EF2ED" w:rsidR="357D2EA7">
        <w:rPr>
          <w:color w:val="BFBFBF" w:themeColor="background1" w:themeTint="FF" w:themeShade="BF"/>
        </w:rPr>
        <w:t xml:space="preserve"> (</w:t>
      </w:r>
      <w:r w:rsidRPr="1C6EF2ED" w:rsidR="0C821B46">
        <w:rPr>
          <w:color w:val="BFBFBF" w:themeColor="background1" w:themeTint="FF" w:themeShade="BF"/>
        </w:rPr>
        <w:t xml:space="preserve">54 </w:t>
      </w:r>
      <w:proofErr w:type="spellStart"/>
      <w:r w:rsidRPr="1C6EF2ED" w:rsidR="0C821B46">
        <w:rPr>
          <w:color w:val="BFBFBF" w:themeColor="background1" w:themeTint="FF" w:themeShade="BF"/>
        </w:rPr>
        <w:t>Pg</w:t>
      </w:r>
      <w:proofErr w:type="spellEnd"/>
      <w:r w:rsidRPr="1C6EF2ED" w:rsidR="357D2EA7">
        <w:rPr>
          <w:color w:val="BFBFBF" w:themeColor="background1" w:themeTint="FF" w:themeShade="BF"/>
        </w:rPr>
        <w:t>)</w:t>
      </w:r>
      <w:r w:rsidRPr="1C6EF2ED" w:rsidR="5148D975">
        <w:rPr>
          <w:color w:val="BFBFBF" w:themeColor="background1" w:themeTint="FF" w:themeShade="BF"/>
        </w:rPr>
        <w:t xml:space="preserve">, followed by the Russian Federation (22 </w:t>
      </w:r>
      <w:proofErr w:type="spellStart"/>
      <w:r w:rsidRPr="1C6EF2ED" w:rsidR="5148D975">
        <w:rPr>
          <w:color w:val="BFBFBF" w:themeColor="background1" w:themeTint="FF" w:themeShade="BF"/>
        </w:rPr>
        <w:t>Pg</w:t>
      </w:r>
      <w:proofErr w:type="spellEnd"/>
      <w:r w:rsidRPr="1C6EF2ED" w:rsidR="5148D975">
        <w:rPr>
          <w:color w:val="BFBFBF" w:themeColor="background1" w:themeTint="FF" w:themeShade="BF"/>
        </w:rPr>
        <w:t xml:space="preserve">) and the United States of America (18 </w:t>
      </w:r>
      <w:proofErr w:type="spellStart"/>
      <w:r w:rsidRPr="1C6EF2ED" w:rsidR="5148D975">
        <w:rPr>
          <w:color w:val="BFBFBF" w:themeColor="background1" w:themeTint="FF" w:themeShade="BF"/>
        </w:rPr>
        <w:t>Pg</w:t>
      </w:r>
      <w:proofErr w:type="spellEnd"/>
      <w:r w:rsidRPr="1C6EF2ED" w:rsidR="5148D975">
        <w:rPr>
          <w:color w:val="BFBFBF" w:themeColor="background1" w:themeTint="FF" w:themeShade="BF"/>
        </w:rPr>
        <w:t>)</w:t>
      </w:r>
      <w:r w:rsidRPr="1C6EF2ED" w:rsidR="0798E428">
        <w:rPr>
          <w:color w:val="BFBFBF" w:themeColor="background1" w:themeTint="FF" w:themeShade="BF"/>
        </w:rPr>
        <w:t>, which are also the three countries with the largest stocks of protected SOC (</w:t>
      </w:r>
      <w:r w:rsidRPr="1C6EF2ED" w:rsidR="63CE7883">
        <w:rPr>
          <w:color w:val="BFBFBF" w:themeColor="background1" w:themeTint="FF" w:themeShade="BF"/>
        </w:rPr>
        <w:t xml:space="preserve">13 </w:t>
      </w:r>
      <w:proofErr w:type="spellStart"/>
      <w:r w:rsidRPr="1C6EF2ED" w:rsidR="63CE7883">
        <w:rPr>
          <w:color w:val="BFBFBF" w:themeColor="background1" w:themeTint="FF" w:themeShade="BF"/>
        </w:rPr>
        <w:t>Pg</w:t>
      </w:r>
      <w:proofErr w:type="spellEnd"/>
      <w:r w:rsidRPr="1C6EF2ED" w:rsidR="63CE7883">
        <w:rPr>
          <w:color w:val="BFBFBF" w:themeColor="background1" w:themeTint="FF" w:themeShade="BF"/>
        </w:rPr>
        <w:t xml:space="preserve">, 17 </w:t>
      </w:r>
      <w:proofErr w:type="spellStart"/>
      <w:r w:rsidRPr="1C6EF2ED" w:rsidR="63CE7883">
        <w:rPr>
          <w:color w:val="BFBFBF" w:themeColor="background1" w:themeTint="FF" w:themeShade="BF"/>
        </w:rPr>
        <w:t>Pg</w:t>
      </w:r>
      <w:proofErr w:type="spellEnd"/>
      <w:r w:rsidRPr="1C6EF2ED" w:rsidR="63CE7883">
        <w:rPr>
          <w:color w:val="BFBFBF" w:themeColor="background1" w:themeTint="FF" w:themeShade="BF"/>
        </w:rPr>
        <w:t xml:space="preserve"> and 13 </w:t>
      </w:r>
      <w:proofErr w:type="spellStart"/>
      <w:r w:rsidRPr="1C6EF2ED" w:rsidR="63CE7883">
        <w:rPr>
          <w:color w:val="BFBFBF" w:themeColor="background1" w:themeTint="FF" w:themeShade="BF"/>
        </w:rPr>
        <w:t>Pg</w:t>
      </w:r>
      <w:proofErr w:type="spellEnd"/>
      <w:r w:rsidRPr="1C6EF2ED" w:rsidR="63CE7883">
        <w:rPr>
          <w:color w:val="BFBFBF" w:themeColor="background1" w:themeTint="FF" w:themeShade="BF"/>
        </w:rPr>
        <w:t>, respectively</w:t>
      </w:r>
      <w:r w:rsidRPr="1C6EF2ED" w:rsidR="0798E428">
        <w:rPr>
          <w:color w:val="BFBFBF" w:themeColor="background1" w:themeTint="FF" w:themeShade="BF"/>
        </w:rPr>
        <w:t>).</w:t>
      </w:r>
      <w:r w:rsidRPr="1C6EF2ED" w:rsidR="74954304">
        <w:rPr>
          <w:color w:val="BFBFBF" w:themeColor="background1" w:themeTint="FF" w:themeShade="BF"/>
        </w:rPr>
        <w:t xml:space="preserve"> </w:t>
      </w:r>
      <w:commentRangeEnd w:id="1088751056"/>
      <w:r>
        <w:rPr>
          <w:rStyle w:val="CommentReference"/>
        </w:rPr>
        <w:commentReference w:id="1088751056"/>
      </w:r>
      <w:r w:rsidRPr="1C6EF2ED" w:rsidR="0A4E98FF">
        <w:rPr>
          <w:color w:val="BFBFBF" w:themeColor="background1" w:themeTint="FF" w:themeShade="BF"/>
        </w:rPr>
        <w:t>In absolute terms, the largest stocks of carbon are located in the Russian Federation (</w:t>
      </w:r>
      <w:r w:rsidRPr="1C6EF2ED" w:rsidR="4C9CAE99">
        <w:rPr>
          <w:color w:val="BFBFBF" w:themeColor="background1" w:themeTint="FF" w:themeShade="BF"/>
        </w:rPr>
        <w:t xml:space="preserve">198 </w:t>
      </w:r>
      <w:proofErr w:type="spellStart"/>
      <w:r w:rsidRPr="1C6EF2ED" w:rsidR="4C9CAE99">
        <w:rPr>
          <w:color w:val="BFBFBF" w:themeColor="background1" w:themeTint="FF" w:themeShade="BF"/>
        </w:rPr>
        <w:t>Pg</w:t>
      </w:r>
      <w:proofErr w:type="spellEnd"/>
      <w:r w:rsidRPr="1C6EF2ED" w:rsidR="0A4E98FF">
        <w:rPr>
          <w:color w:val="BFBFBF" w:themeColor="background1" w:themeTint="FF" w:themeShade="BF"/>
        </w:rPr>
        <w:t>), Canad</w:t>
      </w:r>
      <w:r w:rsidRPr="1C6EF2ED" w:rsidR="0125874D">
        <w:rPr>
          <w:color w:val="BFBFBF" w:themeColor="background1" w:themeTint="FF" w:themeShade="BF"/>
        </w:rPr>
        <w:t>a (</w:t>
      </w:r>
      <w:r w:rsidRPr="1C6EF2ED" w:rsidR="7658CEE7">
        <w:rPr>
          <w:color w:val="BFBFBF" w:themeColor="background1" w:themeTint="FF" w:themeShade="BF"/>
        </w:rPr>
        <w:t xml:space="preserve">109 </w:t>
      </w:r>
      <w:proofErr w:type="spellStart"/>
      <w:r w:rsidRPr="1C6EF2ED" w:rsidR="7658CEE7">
        <w:rPr>
          <w:color w:val="BFBFBF" w:themeColor="background1" w:themeTint="FF" w:themeShade="BF"/>
        </w:rPr>
        <w:t>Pg</w:t>
      </w:r>
      <w:proofErr w:type="spellEnd"/>
      <w:r w:rsidRPr="1C6EF2ED" w:rsidR="0125874D">
        <w:rPr>
          <w:color w:val="BFBFBF" w:themeColor="background1" w:themeTint="FF" w:themeShade="BF"/>
        </w:rPr>
        <w:t>) and Brazil (</w:t>
      </w:r>
      <w:r w:rsidRPr="1C6EF2ED" w:rsidR="1DE19FA2">
        <w:rPr>
          <w:color w:val="BFBFBF" w:themeColor="background1" w:themeTint="FF" w:themeShade="BF"/>
        </w:rPr>
        <w:t xml:space="preserve">103 </w:t>
      </w:r>
      <w:proofErr w:type="spellStart"/>
      <w:r w:rsidRPr="1C6EF2ED" w:rsidR="1DE19FA2">
        <w:rPr>
          <w:color w:val="BFBFBF" w:themeColor="background1" w:themeTint="FF" w:themeShade="BF"/>
        </w:rPr>
        <w:t>Pg</w:t>
      </w:r>
      <w:proofErr w:type="spellEnd"/>
      <w:r w:rsidRPr="1C6EF2ED" w:rsidR="0125874D">
        <w:rPr>
          <w:color w:val="BFBFBF" w:themeColor="background1" w:themeTint="FF" w:themeShade="BF"/>
        </w:rPr>
        <w:t>)</w:t>
      </w:r>
      <w:r w:rsidRPr="1C6EF2ED" w:rsidR="157EB620">
        <w:rPr>
          <w:color w:val="BFBFBF" w:themeColor="background1" w:themeTint="FF" w:themeShade="BF"/>
        </w:rPr>
        <w:t>, most of the carbon corresponding to SOC stocks.</w:t>
      </w:r>
    </w:p>
    <w:p w:rsidR="2450DA1F" w:rsidP="1C6EF2ED" w:rsidRDefault="2450DA1F" w14:paraId="1A795DEF" w14:textId="333F7437">
      <w:pPr>
        <w:pStyle w:val="Normal"/>
      </w:pPr>
      <w:r w:rsidR="2450DA1F">
        <w:drawing>
          <wp:inline wp14:editId="7011F6DB" wp14:anchorId="04CC326A">
            <wp:extent cx="5789120" cy="3533775"/>
            <wp:effectExtent l="0" t="0" r="0" b="0"/>
            <wp:docPr id="1052874419" name="" title=""/>
            <wp:cNvGraphicFramePr>
              <a:graphicFrameLocks noChangeAspect="1"/>
            </wp:cNvGraphicFramePr>
            <a:graphic>
              <a:graphicData uri="http://schemas.openxmlformats.org/drawingml/2006/picture">
                <pic:pic>
                  <pic:nvPicPr>
                    <pic:cNvPr id="0" name=""/>
                    <pic:cNvPicPr/>
                  </pic:nvPicPr>
                  <pic:blipFill>
                    <a:blip r:embed="R34f5f43caafa4e1e">
                      <a:extLst>
                        <a:ext xmlns:a="http://schemas.openxmlformats.org/drawingml/2006/main" uri="{28A0092B-C50C-407E-A947-70E740481C1C}">
                          <a14:useLocalDpi val="0"/>
                        </a:ext>
                      </a:extLst>
                    </a:blip>
                    <a:stretch>
                      <a:fillRect/>
                    </a:stretch>
                  </pic:blipFill>
                  <pic:spPr>
                    <a:xfrm>
                      <a:off x="0" y="0"/>
                      <a:ext cx="5789120" cy="3533775"/>
                    </a:xfrm>
                    <a:prstGeom prst="rect">
                      <a:avLst/>
                    </a:prstGeom>
                  </pic:spPr>
                </pic:pic>
              </a:graphicData>
            </a:graphic>
          </wp:inline>
        </w:drawing>
      </w:r>
    </w:p>
    <w:p w:rsidR="7F1078C7" w:rsidP="1C6EF2ED" w:rsidRDefault="7F1078C7" w14:paraId="65842919" w14:textId="6793F0A6">
      <w:pPr>
        <w:pStyle w:val="Normal"/>
        <w:rPr>
          <w:color w:val="BFBFBF" w:themeColor="background1" w:themeTint="FF" w:themeShade="BF"/>
        </w:rPr>
      </w:pPr>
      <w:r w:rsidR="7F1078C7">
        <w:rPr/>
        <w:t>Results 3: Ecoregion assessment of the major ecoregions storing carbon</w:t>
      </w:r>
      <w:r w:rsidR="6C8F36C1">
        <w:rPr/>
        <w:t xml:space="preserve">, how it is distributed in the three pools and how much carbon is protected in each ecoregion x pool. </w:t>
      </w:r>
      <w:r w:rsidRPr="1C6EF2ED" w:rsidR="3E4FC556">
        <w:rPr>
          <w:color w:val="BFBFBF" w:themeColor="background1" w:themeTint="FF" w:themeShade="BF"/>
        </w:rPr>
        <w:t xml:space="preserve">The ecoregions with the largest carbon stocks are the </w:t>
      </w:r>
      <w:r w:rsidRPr="1C6EF2ED" w:rsidR="37C55391">
        <w:rPr>
          <w:color w:val="BFBFBF" w:themeColor="background1" w:themeTint="FF" w:themeShade="BF"/>
        </w:rPr>
        <w:t xml:space="preserve">East Siberian taiga, </w:t>
      </w:r>
      <w:r w:rsidRPr="1C6EF2ED" w:rsidR="3019B7F7">
        <w:rPr>
          <w:color w:val="BFBFBF" w:themeColor="background1" w:themeTint="FF" w:themeShade="BF"/>
        </w:rPr>
        <w:t xml:space="preserve">Scandinavian and Russian taiga and </w:t>
      </w:r>
      <w:r w:rsidRPr="1C6EF2ED" w:rsidR="6E03B35E">
        <w:rPr>
          <w:color w:val="BFBFBF" w:themeColor="background1" w:themeTint="FF" w:themeShade="BF"/>
        </w:rPr>
        <w:t xml:space="preserve">West Siberian taiga (43, 27 and 25 </w:t>
      </w:r>
      <w:proofErr w:type="spellStart"/>
      <w:r w:rsidRPr="1C6EF2ED" w:rsidR="6E03B35E">
        <w:rPr>
          <w:color w:val="BFBFBF" w:themeColor="background1" w:themeTint="FF" w:themeShade="BF"/>
        </w:rPr>
        <w:t>Pg</w:t>
      </w:r>
      <w:proofErr w:type="spellEnd"/>
      <w:r w:rsidRPr="1C6EF2ED" w:rsidR="6E03B35E">
        <w:rPr>
          <w:color w:val="BFBFBF" w:themeColor="background1" w:themeTint="FF" w:themeShade="BF"/>
        </w:rPr>
        <w:t xml:space="preserve"> respectively).</w:t>
      </w:r>
    </w:p>
    <w:p w:rsidR="5579FDDD" w:rsidP="1C6EF2ED" w:rsidRDefault="5579FDDD" w14:paraId="42FC48DB" w14:textId="58EAAB01">
      <w:pPr>
        <w:pStyle w:val="Normal"/>
      </w:pPr>
      <w:r w:rsidR="5579FDDD">
        <w:drawing>
          <wp:inline wp14:editId="01D8370E" wp14:anchorId="396826AB">
            <wp:extent cx="5962650" cy="3639701"/>
            <wp:effectExtent l="0" t="0" r="0" b="0"/>
            <wp:docPr id="312906240" name="" title=""/>
            <wp:cNvGraphicFramePr>
              <a:graphicFrameLocks noChangeAspect="1"/>
            </wp:cNvGraphicFramePr>
            <a:graphic>
              <a:graphicData uri="http://schemas.openxmlformats.org/drawingml/2006/picture">
                <pic:pic>
                  <pic:nvPicPr>
                    <pic:cNvPr id="0" name=""/>
                    <pic:cNvPicPr/>
                  </pic:nvPicPr>
                  <pic:blipFill>
                    <a:blip r:embed="R790aac592fd44078">
                      <a:extLst>
                        <a:ext xmlns:a="http://schemas.openxmlformats.org/drawingml/2006/main" uri="{28A0092B-C50C-407E-A947-70E740481C1C}">
                          <a14:useLocalDpi val="0"/>
                        </a:ext>
                      </a:extLst>
                    </a:blip>
                    <a:stretch>
                      <a:fillRect/>
                    </a:stretch>
                  </pic:blipFill>
                  <pic:spPr>
                    <a:xfrm>
                      <a:off x="0" y="0"/>
                      <a:ext cx="5962650" cy="3639701"/>
                    </a:xfrm>
                    <a:prstGeom prst="rect">
                      <a:avLst/>
                    </a:prstGeom>
                  </pic:spPr>
                </pic:pic>
              </a:graphicData>
            </a:graphic>
          </wp:inline>
        </w:drawing>
      </w:r>
    </w:p>
    <w:p w:rsidR="7BCC519F" w:rsidP="1C6EF2ED" w:rsidRDefault="7BCC519F" w14:paraId="13D055F2" w14:textId="4C898110">
      <w:pPr>
        <w:pStyle w:val="Normal"/>
      </w:pPr>
      <w:r w:rsidR="7BCC519F">
        <w:rPr/>
        <w:t xml:space="preserve">Results 4: PA assessment of the most important PAs in terms of carbon, how is distributed in the three pools and which IUCN category </w:t>
      </w:r>
      <w:r w:rsidR="27E4285C">
        <w:rPr/>
        <w:t>shows the most relevance in storing carbon (this analysis may be flawed, as areas might have several designations overlapping).</w:t>
      </w:r>
    </w:p>
    <w:p w:rsidR="357D2EA7" w:rsidP="1C6EF2ED" w:rsidRDefault="357D2EA7" w14:paraId="627A264B" w14:textId="61F55D68">
      <w:pPr>
        <w:pStyle w:val="Normal"/>
      </w:pPr>
      <w:r w:rsidR="357D2EA7">
        <w:rPr/>
        <w:t>In terms of countries</w:t>
      </w:r>
    </w:p>
    <w:p w:rsidR="0A4AB9CC" w:rsidP="1C6EF2ED" w:rsidRDefault="0A4AB9CC" w14:paraId="6039F3D3" w14:textId="6A4C3467">
      <w:pPr>
        <w:pStyle w:val="Normal"/>
      </w:pPr>
      <w:r w:rsidR="0A4AB9CC">
        <w:rPr/>
        <w:t>Show the countries which protect the highest share of their carbon stocks</w:t>
      </w:r>
    </w:p>
    <w:p w:rsidR="7E67C9FC" w:rsidP="68A7EF9C" w:rsidRDefault="7E67C9FC" w14:paraId="28AEDFF3" w14:textId="46FD6C39">
      <w:pPr>
        <w:pStyle w:val="Heading1"/>
      </w:pPr>
      <w:r w:rsidR="464CC3FD">
        <w:rPr/>
        <w:t>Discussion</w:t>
      </w:r>
    </w:p>
    <w:p w:rsidR="2AD4C737" w:rsidP="1C6EF2ED" w:rsidRDefault="2AD4C737" w14:paraId="4F95BF06" w14:textId="36E29180">
      <w:pPr>
        <w:pStyle w:val="Normal"/>
      </w:pPr>
      <w:r w:rsidR="2AD4C737">
        <w:rPr/>
        <w:t xml:space="preserve">Compare with </w:t>
      </w:r>
    </w:p>
    <w:p w:rsidR="7E67C9FC" w:rsidP="68A7EF9C" w:rsidRDefault="7E67C9FC" w14:paraId="56A160B0" w14:textId="2EFC6967">
      <w:pPr>
        <w:pStyle w:val="Heading1"/>
      </w:pPr>
      <w:r w:rsidR="7E67C9FC">
        <w:rPr/>
        <w:t>Conclusions</w:t>
      </w:r>
    </w:p>
    <w:p w:rsidR="7E67C9FC" w:rsidP="68A7EF9C" w:rsidRDefault="7E67C9FC" w14:paraId="6561F4AB" w14:textId="35B60AFD">
      <w:pPr>
        <w:pStyle w:val="Heading1"/>
      </w:pPr>
      <w:r w:rsidR="464CC3FD">
        <w:rPr/>
        <w:t>References</w:t>
      </w:r>
    </w:p>
    <w:p w:rsidR="5ACDE61A" w:rsidP="1C6EF2ED" w:rsidRDefault="5ACDE61A" w14:paraId="7DB99793" w14:textId="21957E88">
      <w:pPr>
        <w:pStyle w:val="Normal"/>
      </w:pPr>
      <w:r w:rsidR="5ACDE61A">
        <w:rPr/>
        <w:t xml:space="preserve">Achard, F., </w:t>
      </w:r>
      <w:proofErr w:type="spellStart"/>
      <w:r w:rsidR="5ACDE61A">
        <w:rPr/>
        <w:t>Beuchle</w:t>
      </w:r>
      <w:proofErr w:type="spellEnd"/>
      <w:r w:rsidR="5ACDE61A">
        <w:rPr/>
        <w:t xml:space="preserve">, R., </w:t>
      </w:r>
      <w:proofErr w:type="spellStart"/>
      <w:r w:rsidR="5ACDE61A">
        <w:rPr/>
        <w:t>Mayaux</w:t>
      </w:r>
      <w:proofErr w:type="spellEnd"/>
      <w:r w:rsidR="5ACDE61A">
        <w:rPr/>
        <w:t xml:space="preserve">, P., Stibig, H. J., Bodart, C., Brink, A., ... &amp; Lupi, A. (2014). Determination of tropical deforestation rates and related carbon losses from 1990 to 2010. Global change biology, 20(8): 2540-2554. https://doi.org/10.1111/gcb.12605 </w:t>
      </w:r>
    </w:p>
    <w:p w:rsidR="38050DB0" w:rsidP="1C6EF2ED" w:rsidRDefault="38050DB0" w14:paraId="30CFEDA3" w14:textId="0CFCEFA5">
      <w:pPr>
        <w:pStyle w:val="Normal"/>
      </w:pPr>
      <w:r w:rsidR="38050DB0">
        <w:rPr/>
        <w:t>Baccini, A., Walker, W., Carvalho, L., Farina, M., Sulla-Menashe, D., &amp; Houghton, R. A. (2017). Tropical forests are a net carbon source based on aboveground measurements of gain and loss. Science, 358(6360): 230-234. DOI:</w:t>
      </w:r>
      <w:r w:rsidR="38050DB0">
        <w:rPr/>
        <w:t>10.1126/</w:t>
      </w:r>
      <w:proofErr w:type="gramStart"/>
      <w:r w:rsidR="38050DB0">
        <w:rPr/>
        <w:t>science.aam</w:t>
      </w:r>
      <w:proofErr w:type="gramEnd"/>
      <w:r w:rsidR="38050DB0">
        <w:rPr/>
        <w:t xml:space="preserve">5962 </w:t>
      </w:r>
    </w:p>
    <w:p w:rsidR="1BDBC9AC" w:rsidP="1C6EF2ED" w:rsidRDefault="1BDBC9AC" w14:paraId="7CAD4B33" w14:textId="10EC1B15">
      <w:pPr>
        <w:pStyle w:val="Normal"/>
      </w:pPr>
      <w:r w:rsidR="1BDBC9AC">
        <w:rPr/>
        <w:t xml:space="preserve">Bastin, L., </w:t>
      </w:r>
      <w:proofErr w:type="spellStart"/>
      <w:r w:rsidR="1BDBC9AC">
        <w:rPr/>
        <w:t>Mandrici</w:t>
      </w:r>
      <w:proofErr w:type="spellEnd"/>
      <w:r w:rsidR="1BDBC9AC">
        <w:rPr/>
        <w:t xml:space="preserve">, A., Battistella, L., Dubois, G., 2017. Processing Conservation Indicators with </w:t>
      </w:r>
      <w:proofErr w:type="gramStart"/>
      <w:r w:rsidR="1BDBC9AC">
        <w:rPr/>
        <w:t>Open Source</w:t>
      </w:r>
      <w:proofErr w:type="gramEnd"/>
      <w:r w:rsidR="1BDBC9AC">
        <w:rPr/>
        <w:t xml:space="preserve"> Tools: Lessons Learned from the Digital Observatory for Protected Areas. In Free and </w:t>
      </w:r>
      <w:proofErr w:type="gramStart"/>
      <w:r w:rsidR="1BDBC9AC">
        <w:rPr/>
        <w:t>Open Source</w:t>
      </w:r>
      <w:proofErr w:type="gramEnd"/>
      <w:r w:rsidR="1BDBC9AC">
        <w:rPr/>
        <w:t xml:space="preserve"> Software for Geospatial (FOSS4G) Conference Proceedings (Vol. 17, No. 1, p. 14).</w:t>
      </w:r>
    </w:p>
    <w:p w:rsidR="39DA65E0" w:rsidP="1C6EF2ED" w:rsidRDefault="39DA65E0" w14:paraId="433840F9" w14:textId="2FC88A76">
      <w:pPr>
        <w:pStyle w:val="Normal"/>
      </w:pPr>
      <w:r w:rsidR="39DA65E0">
        <w:rPr/>
        <w:t xml:space="preserve">Brus, D.J., G.M. Hengeveld, D.J.J. Walvoort, P.W. Goedhart, A.H. Heidema, G.J. Nabuurs, K. Gunia, 2011. Statistical mapping of tree species over Europe. Special Issue European Journal of Forest Research. </w:t>
      </w:r>
      <w:r w:rsidR="39DA65E0">
        <w:rPr/>
        <w:t>https://doi.org/10.1007/s10342-</w:t>
      </w:r>
      <w:r w:rsidR="39DA65E0">
        <w:rPr/>
        <w:t xml:space="preserve"> 011-0513-5 </w:t>
      </w:r>
    </w:p>
    <w:p w:rsidR="13B91829" w:rsidP="1C6EF2ED" w:rsidRDefault="13B91829" w14:paraId="0B69D278" w14:textId="3A860DE5">
      <w:pPr>
        <w:pStyle w:val="Normal"/>
      </w:pPr>
      <w:r w:rsidR="13B91829">
        <w:rPr/>
        <w:t xml:space="preserve">Brus, D., Hengl, T., </w:t>
      </w:r>
      <w:proofErr w:type="spellStart"/>
      <w:r w:rsidR="13B91829">
        <w:rPr/>
        <w:t>Heuvelink</w:t>
      </w:r>
      <w:proofErr w:type="spellEnd"/>
      <w:r w:rsidR="13B91829">
        <w:rPr/>
        <w:t>, G., Kempen, B., Mulder, T. V. L., Olmedo, G. F., ... &amp; Vargas, R. (2017). Soil organic carbon mapping: GSOC map cookbook manual.</w:t>
      </w:r>
    </w:p>
    <w:p w:rsidR="5C2FA728" w:rsidP="1C6EF2ED" w:rsidRDefault="5C2FA728" w14:paraId="0C9B47A2" w14:textId="16C521D0">
      <w:pPr>
        <w:pStyle w:val="Normal"/>
      </w:pPr>
      <w:r w:rsidR="5C2FA728">
        <w:rPr/>
        <w:t xml:space="preserve">Dubois G., et al., 2016. Integrating multiple spatial datasets to assess protected areas: lessons learnt from the Digital Observatory for Protected Areas (DOPA). ISPRS International Journal of Geo-Information, 5, 242 </w:t>
      </w:r>
    </w:p>
    <w:p w:rsidR="0A1E78AE" w:rsidP="1C6EF2ED" w:rsidRDefault="0A1E78AE" w14:paraId="538A9451" w14:textId="2DA77943">
      <w:pPr>
        <w:pStyle w:val="Normal"/>
      </w:pPr>
      <w:r w:rsidR="0A1E78AE">
        <w:rPr/>
        <w:t>Dudley, N. (Editor), 2008. Guidelines for Applying Protected Area Management Categories. Gland, Switzerland: IUCN.</w:t>
      </w:r>
    </w:p>
    <w:p w:rsidR="3C1CABF1" w:rsidP="1C6EF2ED" w:rsidRDefault="3C1CABF1" w14:paraId="1193348C" w14:textId="26062BA3">
      <w:pPr>
        <w:pStyle w:val="Normal"/>
      </w:pPr>
      <w:r w:rsidR="3C1CABF1">
        <w:rPr/>
        <w:t xml:space="preserve">FAO &amp; ITPS. 2020. Global Soil Organic Carbon Map V1.5: Technical Report. Rome. FAO. </w:t>
      </w:r>
      <w:r w:rsidR="084F3BA7">
        <w:rPr/>
        <w:t>https://doi.org/10.4060/ca7597en</w:t>
      </w:r>
    </w:p>
    <w:p w:rsidR="4CE9C642" w:rsidP="1C6EF2ED" w:rsidRDefault="4CE9C642" w14:paraId="5581965D" w14:textId="6FD1896F">
      <w:pPr>
        <w:pStyle w:val="Normal"/>
      </w:pPr>
      <w:r w:rsidR="4CE9C642">
        <w:rPr/>
        <w:t xml:space="preserve">Hengl, T., Mendes de Jesus, J., Heuvelink, G. B., Ruiperez Gonzalez, M., Kilibarda, M., Blagotić, A., ... &amp; Kempen, B. (2017). SoilGrids250m: Global gridded soil information based on machine learning. PLoS one, 12(2), e0169748. </w:t>
      </w:r>
    </w:p>
    <w:p w:rsidR="3B5F85AD" w:rsidP="1C6EF2ED" w:rsidRDefault="3B5F85AD" w14:paraId="6780D40C" w14:textId="0D9236AA">
      <w:pPr>
        <w:pStyle w:val="Normal"/>
      </w:pPr>
      <w:r w:rsidR="3B5F85AD">
        <w:rPr/>
        <w:t xml:space="preserve">Hengl, T., Miller, M. A., Križan, J., Shepherd, K. D., Sila, A., </w:t>
      </w:r>
      <w:proofErr w:type="spellStart"/>
      <w:r w:rsidR="3B5F85AD">
        <w:rPr/>
        <w:t>Kilibarda</w:t>
      </w:r>
      <w:proofErr w:type="spellEnd"/>
      <w:r w:rsidR="3B5F85AD">
        <w:rPr/>
        <w:t>, M., ... &amp; Crouch, J. (2021). African soil properties and nutrients mapped at 30 m spatial resolution using two-scale ensemble machine learning. Scientific Reports, 11(1), 1-18.</w:t>
      </w:r>
    </w:p>
    <w:p w:rsidR="62F55CC0" w:rsidP="1C6EF2ED" w:rsidRDefault="62F55CC0" w14:paraId="3782D435" w14:textId="56E244E5">
      <w:pPr>
        <w:pStyle w:val="Normal"/>
      </w:pPr>
      <w:r w:rsidR="62F55CC0">
        <w:rPr/>
        <w:t>IPCC, 2019</w:t>
      </w:r>
      <w:r w:rsidR="2EA0FAB4">
        <w:rPr/>
        <w:t>.</w:t>
      </w:r>
      <w:r w:rsidR="62F55CC0">
        <w:rPr/>
        <w:t xml:space="preserve"> </w:t>
      </w:r>
      <w:r w:rsidR="5DE2A01A">
        <w:rPr/>
        <w:t xml:space="preserve">Chapter4. </w:t>
      </w:r>
      <w:r w:rsidR="62F55CC0">
        <w:rPr/>
        <w:t xml:space="preserve">Refinement to the 2006 IPCC Guidelines for National Greenhouse Gas Inventories, Calvo Buendia, E., Tanabe, K., Kranjc, A., </w:t>
      </w:r>
      <w:proofErr w:type="spellStart"/>
      <w:r w:rsidR="62F55CC0">
        <w:rPr/>
        <w:t>Baasansuren</w:t>
      </w:r>
      <w:proofErr w:type="spellEnd"/>
      <w:r w:rsidR="62F55CC0">
        <w:rPr/>
        <w:t xml:space="preserve">, J., Fukuda, M., </w:t>
      </w:r>
      <w:proofErr w:type="spellStart"/>
      <w:r w:rsidR="62F55CC0">
        <w:rPr/>
        <w:t>Ngarize</w:t>
      </w:r>
      <w:proofErr w:type="spellEnd"/>
      <w:r w:rsidR="62F55CC0">
        <w:rPr/>
        <w:t xml:space="preserve">, S., Osako, A., </w:t>
      </w:r>
      <w:proofErr w:type="spellStart"/>
      <w:r w:rsidR="62F55CC0">
        <w:rPr/>
        <w:t>Pyrozhenko</w:t>
      </w:r>
      <w:proofErr w:type="spellEnd"/>
      <w:r w:rsidR="62F55CC0">
        <w:rPr/>
        <w:t xml:space="preserve">, Y., </w:t>
      </w:r>
      <w:proofErr w:type="spellStart"/>
      <w:r w:rsidR="62F55CC0">
        <w:rPr/>
        <w:t>Shermanau</w:t>
      </w:r>
      <w:proofErr w:type="spellEnd"/>
      <w:r w:rsidR="62F55CC0">
        <w:rPr/>
        <w:t>, P. and Federici, S. (eds). Published: IPCC, Switzerland</w:t>
      </w:r>
    </w:p>
    <w:p w:rsidR="7AB0A3FB" w:rsidP="1C6EF2ED" w:rsidRDefault="7AB0A3FB" w14:paraId="7BB5CECD" w14:textId="79B84C1D">
      <w:pPr>
        <w:pStyle w:val="Normal"/>
      </w:pPr>
      <w:r w:rsidR="7AB0A3FB">
        <w:rPr/>
        <w:t xml:space="preserve">Keith, H., Mackey, B. G., &amp; Lindenmayer, D. B. (2009). Re-evaluation of forest biomass carbon stocks and lessons from the world's most carbon-dense forests. Proceedings of the National Academy of Sciences, 106(28), 11635-11640. </w:t>
      </w:r>
    </w:p>
    <w:p w:rsidR="40B0F605" w:rsidP="1C6EF2ED" w:rsidRDefault="40B0F605" w14:paraId="094A85A4" w14:textId="646246F5">
      <w:pPr>
        <w:pStyle w:val="Normal"/>
      </w:pPr>
      <w:proofErr w:type="spellStart"/>
      <w:r w:rsidR="40B0F605">
        <w:rPr/>
        <w:t>Munang</w:t>
      </w:r>
      <w:proofErr w:type="spellEnd"/>
      <w:r w:rsidR="40B0F605">
        <w:rPr/>
        <w:t>, R., Thiaw, I., Alverson, K., Mumba, M., Liu, J., &amp; Rivington, M. (2013). Climate change and Ecosystem-based Adaptation: a new pragmatic approach to buffering climate change impacts. Current Opinion in Environmental Sustainability, 5(1), 67-71.</w:t>
      </w:r>
    </w:p>
    <w:p w:rsidR="6744FCFD" w:rsidP="1C6EF2ED" w:rsidRDefault="6744FCFD" w14:paraId="65DFBEF9" w14:textId="4A60B4B4">
      <w:pPr>
        <w:pStyle w:val="Normal"/>
      </w:pPr>
      <w:r w:rsidR="6744FCFD">
        <w:rPr/>
        <w:t>Reich, P. B., Luo, Y., Bradford, J. B., Poorter, H., Perry, C. H., &amp; Oleksyn, J. (2014). Temperature drives global patterns in forest biomass distribution in leaves, stems, and roots. Proceedings of the National Academy of Sciences, 111(38), 13721-13726. https://doi.org/10.1073/pnas.1216053111</w:t>
      </w:r>
    </w:p>
    <w:p w:rsidR="0D4505F1" w:rsidP="1C6EF2ED" w:rsidRDefault="0D4505F1" w14:paraId="1CCA3D51" w14:textId="223A4451">
      <w:pPr>
        <w:pStyle w:val="Normal"/>
      </w:pPr>
      <w:r w:rsidR="0D4505F1">
        <w:rPr/>
        <w:t>Santoro, M., Cartus, O., Carvalhais, N., Rozendaal, D., Avitabile, V., Araza, A., ... &amp; Willcock, S. (2021). The global forest above-ground biomass pool for 2010 estimated from high-resolution satellite observations. Earth System Science Data, 13(8), 3927-3950.</w:t>
      </w:r>
    </w:p>
    <w:p w:rsidR="14D625FB" w:rsidP="1C6EF2ED" w:rsidRDefault="14D625FB" w14:paraId="039F917E" w14:textId="2194506A">
      <w:pPr>
        <w:pStyle w:val="Normal"/>
      </w:pPr>
      <w:r w:rsidR="14D625FB">
        <w:rPr/>
        <w:t xml:space="preserve">Santoro, M., Cartus, O., </w:t>
      </w:r>
      <w:proofErr w:type="spellStart"/>
      <w:r w:rsidR="14D625FB">
        <w:rPr/>
        <w:t>Mermoz</w:t>
      </w:r>
      <w:proofErr w:type="spellEnd"/>
      <w:r w:rsidR="14D625FB">
        <w:rPr/>
        <w:t xml:space="preserve">, S., Bouvet, A., Le Toan, T., Carvalhais, N., Rozendaal, D., Herold, M., Avitabile, V., Quegan, S., </w:t>
      </w:r>
      <w:proofErr w:type="spellStart"/>
      <w:r w:rsidR="14D625FB">
        <w:rPr/>
        <w:t>Carreiras</w:t>
      </w:r>
      <w:proofErr w:type="spellEnd"/>
      <w:r w:rsidR="14D625FB">
        <w:rPr/>
        <w:t xml:space="preserve">, J., </w:t>
      </w:r>
      <w:proofErr w:type="spellStart"/>
      <w:r w:rsidR="14D625FB">
        <w:rPr/>
        <w:t>Rauste</w:t>
      </w:r>
      <w:proofErr w:type="spellEnd"/>
      <w:r w:rsidR="14D625FB">
        <w:rPr/>
        <w:t xml:space="preserve">, Y., </w:t>
      </w:r>
      <w:proofErr w:type="spellStart"/>
      <w:r w:rsidR="14D625FB">
        <w:rPr/>
        <w:t>Balzter</w:t>
      </w:r>
      <w:proofErr w:type="spellEnd"/>
      <w:r w:rsidR="14D625FB">
        <w:rPr/>
        <w:t xml:space="preserve">, H., </w:t>
      </w:r>
      <w:proofErr w:type="spellStart"/>
      <w:r w:rsidR="14D625FB">
        <w:rPr/>
        <w:t>Schmullius</w:t>
      </w:r>
      <w:proofErr w:type="spellEnd"/>
      <w:r w:rsidR="14D625FB">
        <w:rPr/>
        <w:t xml:space="preserve">, C., Seifert, F.M., 2018, </w:t>
      </w:r>
      <w:proofErr w:type="spellStart"/>
      <w:r w:rsidR="14D625FB">
        <w:rPr/>
        <w:t>GlobBiomass</w:t>
      </w:r>
      <w:proofErr w:type="spellEnd"/>
      <w:r w:rsidR="14D625FB">
        <w:rPr/>
        <w:t xml:space="preserve"> global above-ground biomass and growing stock volume datasets, available on-line at http://globbiomass.org/products/global-mapping </w:t>
      </w:r>
    </w:p>
    <w:p w:rsidR="5919E748" w:rsidP="1C6EF2ED" w:rsidRDefault="5919E748" w14:paraId="51C4E02C" w14:textId="16D84B95">
      <w:pPr>
        <w:pStyle w:val="Normal"/>
      </w:pPr>
      <w:r w:rsidR="5919E748">
        <w:rPr/>
        <w:t xml:space="preserve">Saura S., </w:t>
      </w:r>
      <w:proofErr w:type="spellStart"/>
      <w:r w:rsidR="5919E748">
        <w:rPr/>
        <w:t>Bertzky</w:t>
      </w:r>
      <w:proofErr w:type="spellEnd"/>
      <w:r w:rsidR="5919E748">
        <w:rPr/>
        <w:t xml:space="preserve"> B., Bastin L., Battistella L., </w:t>
      </w:r>
      <w:proofErr w:type="spellStart"/>
      <w:r w:rsidR="5919E748">
        <w:rPr/>
        <w:t>Mandrici</w:t>
      </w:r>
      <w:proofErr w:type="spellEnd"/>
      <w:r w:rsidR="5919E748">
        <w:rPr/>
        <w:t xml:space="preserve"> A., Dubois G., 2018. Protected area connectivity: Shortfalls in global targets and country-level priorities. Biological Conservation, 219, 53–67. pmid:29503460 </w:t>
      </w:r>
    </w:p>
    <w:p w:rsidR="65F22528" w:rsidP="1C6EF2ED" w:rsidRDefault="65F22528" w14:paraId="7D987644" w14:textId="7B83260E">
      <w:pPr>
        <w:pStyle w:val="Normal"/>
      </w:pPr>
      <w:r w:rsidR="65F22528">
        <w:rPr/>
        <w:t>Scharlemann</w:t>
      </w:r>
      <w:r w:rsidR="65F22528">
        <w:rPr/>
        <w:t>, J. P., Kapos, V., Campbell, A., Lysenko, I., Burgess, N. D., Hansen, M. C., ... &amp; Miles, L. (2010). Securing tropical forest carbon: the contribution of protected areas to REDD. Oryx, 44(3), 352-357.</w:t>
      </w:r>
    </w:p>
    <w:p w:rsidR="1E74F93F" w:rsidP="1C6EF2ED" w:rsidRDefault="1E74F93F" w14:paraId="46A3F512" w14:textId="46C79FF2">
      <w:pPr>
        <w:pStyle w:val="Normal"/>
      </w:pPr>
      <w:r w:rsidR="1E74F93F">
        <w:rPr/>
        <w:t>UNEP-WCMC and IUCN, [</w:t>
      </w:r>
      <w:r w:rsidRPr="1C6EF2ED" w:rsidR="1E74F93F">
        <w:rPr>
          <w:highlight w:val="yellow"/>
        </w:rPr>
        <w:t>year</w:t>
      </w:r>
      <w:r w:rsidR="1E74F93F">
        <w:rPr/>
        <w:t>]. Protected Planet: The World Database on Protected Areas (WDPA) [</w:t>
      </w:r>
      <w:r w:rsidRPr="1C6EF2ED" w:rsidR="1E74F93F">
        <w:rPr>
          <w:highlight w:val="yellow"/>
        </w:rPr>
        <w:t>month, year</w:t>
      </w:r>
      <w:r w:rsidR="1E74F93F">
        <w:rPr/>
        <w:t xml:space="preserve">], Cambridge, UK: UNEP-WCMC and IUCN. Available at: </w:t>
      </w:r>
      <w:hyperlink r:id="R056ff81cec9c403c">
        <w:r w:rsidRPr="1C6EF2ED" w:rsidR="1E74F93F">
          <w:rPr>
            <w:rStyle w:val="Hyperlink"/>
          </w:rPr>
          <w:t>www.protectedplanet.net</w:t>
        </w:r>
      </w:hyperlink>
      <w:r w:rsidR="1E74F93F">
        <w:rPr/>
        <w:t>.</w:t>
      </w:r>
    </w:p>
    <w:p w:rsidR="4CAB1C23" w:rsidP="1C6EF2ED" w:rsidRDefault="4CAB1C23" w14:paraId="53282CBF" w14:textId="1ABC3CB7">
      <w:pPr>
        <w:pStyle w:val="Normal"/>
      </w:pPr>
      <w:r w:rsidR="4CAB1C23">
        <w:rPr/>
        <w:t>UNEP-WCMC and IUCN, 2016. Protected Planet Report 2016. UNEP-WCMC and IUCN: Cambridge UK and Gland, Switzerland.</w:t>
      </w:r>
    </w:p>
    <w:p w:rsidR="57A08A79" w:rsidP="1C6EF2ED" w:rsidRDefault="57A08A79" w14:paraId="126F98BA" w14:textId="5604CFBB">
      <w:pPr>
        <w:pStyle w:val="Normal"/>
      </w:pPr>
      <w:r w:rsidR="57A08A79">
        <w:rPr/>
        <w:t xml:space="preserve">VAN DER </w:t>
      </w:r>
      <w:proofErr w:type="gramStart"/>
      <w:r w:rsidR="57A08A79">
        <w:rPr/>
        <w:t>WERF ,</w:t>
      </w:r>
      <w:proofErr w:type="gramEnd"/>
      <w:r w:rsidR="57A08A79">
        <w:rPr/>
        <w:t xml:space="preserve"> G.R., </w:t>
      </w:r>
      <w:proofErr w:type="gramStart"/>
      <w:r w:rsidR="57A08A79">
        <w:rPr/>
        <w:t>MORTON ,</w:t>
      </w:r>
      <w:proofErr w:type="gramEnd"/>
      <w:r w:rsidR="57A08A79">
        <w:rPr/>
        <w:t xml:space="preserve"> D.C., DE F </w:t>
      </w:r>
      <w:proofErr w:type="gramStart"/>
      <w:r w:rsidR="57A08A79">
        <w:rPr/>
        <w:t>RIES ,</w:t>
      </w:r>
      <w:proofErr w:type="gramEnd"/>
      <w:r w:rsidR="57A08A79">
        <w:rPr/>
        <w:t xml:space="preserve"> R.S., OLIVIER, J.G.J., KASIBHATLA, P.S., </w:t>
      </w:r>
      <w:proofErr w:type="gramStart"/>
      <w:r w:rsidR="57A08A79">
        <w:rPr/>
        <w:t>JACKSON ,</w:t>
      </w:r>
      <w:proofErr w:type="gramEnd"/>
      <w:r w:rsidR="57A08A79">
        <w:rPr/>
        <w:t xml:space="preserve"> R.B. et al. (2009) CO2 emissions from forest loss. Nature Geoscience, 2, 737–738.</w:t>
      </w:r>
    </w:p>
    <w:p w:rsidR="291871A9" w:rsidP="1C6EF2ED" w:rsidRDefault="291871A9" w14:paraId="327179F8" w14:textId="3F2AF40E">
      <w:pPr>
        <w:pStyle w:val="Normal"/>
      </w:pPr>
      <w:r w:rsidR="291871A9">
        <w:rPr/>
        <w:t xml:space="preserve">Venter, O., &amp; Koh, L. P. (2012). Reducing emissions from deforestation and forest degradation (REDD+): game changer or just another quick </w:t>
      </w:r>
      <w:proofErr w:type="gramStart"/>
      <w:r w:rsidR="291871A9">
        <w:rPr/>
        <w:t>fix?.</w:t>
      </w:r>
      <w:proofErr w:type="gramEnd"/>
      <w:r w:rsidR="291871A9">
        <w:rPr/>
        <w:t xml:space="preserve"> Annals of the New York Academy of Sciences, 1249(1), 137-150.</w:t>
      </w:r>
    </w:p>
    <w:p w:rsidR="45037A57" w:rsidP="1C6EF2ED" w:rsidRDefault="45037A57" w14:paraId="19592F81" w14:textId="1525D116">
      <w:pPr>
        <w:pStyle w:val="Normal"/>
      </w:pPr>
      <w:r w:rsidR="45037A57">
        <w:rPr/>
        <w:t>Zarin, D. J., Harris, N. L., Baccini, A., Aksenov, D., Hansen, M. C., Azevedo‐Ramos, C., ... &amp; Allegretti, A. (2016). Can carbon emissions from tropical deforestation drop by 50% in 5 years? Global change biology, 22(4): 1336-1347. https://doi.org/10.1111/gcb.13153</w:t>
      </w: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B(" w:author="Bendito, Eduardo Garcia (IITA)" w:date="2021-10-05T12:23:40" w:id="1973788522">
    <w:p w:rsidR="1C6EF2ED" w:rsidRDefault="1C6EF2ED" w14:paraId="05BF8310" w14:textId="1FAAE7DC">
      <w:pPr>
        <w:pStyle w:val="CommentText"/>
      </w:pPr>
      <w:r w:rsidR="1C6EF2ED">
        <w:rPr/>
        <w:t>Section 5.3 (pg 20) of that report</w:t>
      </w:r>
      <w:r>
        <w:rPr>
          <w:rStyle w:val="CommentReference"/>
        </w:rPr>
        <w:annotationRef/>
      </w:r>
    </w:p>
  </w:comment>
  <w:comment w:initials="B(" w:author="Bendito, Eduardo Garcia (IITA)" w:date="2021-10-08T18:23:17" w:id="1868458226">
    <w:p w:rsidR="1C6EF2ED" w:rsidRDefault="1C6EF2ED" w14:paraId="75EF8E46" w14:textId="7D171663">
      <w:pPr>
        <w:pStyle w:val="CommentText"/>
      </w:pPr>
      <w:r w:rsidR="1C6EF2ED">
        <w:rPr/>
        <w:t>TBD: Shoud we mask out SOC pixels with no AGB?</w:t>
      </w:r>
      <w:r>
        <w:rPr>
          <w:rStyle w:val="CommentReference"/>
        </w:rPr>
        <w:annotationRef/>
      </w:r>
    </w:p>
  </w:comment>
  <w:comment w:initials="B(" w:author="Bendito, Eduardo Garcia (IITA)" w:date="2021-10-08T18:23:59" w:id="1198554850">
    <w:p w:rsidR="1C6EF2ED" w:rsidRDefault="1C6EF2ED" w14:paraId="121D8581" w14:textId="6FC2A3D1">
      <w:pPr>
        <w:pStyle w:val="CommentText"/>
      </w:pPr>
      <w:r w:rsidR="1C6EF2ED">
        <w:rPr/>
        <w:t>This is all taken as template from: https://doi.org/10.1371/journal.pone.0224958</w:t>
      </w:r>
      <w:r>
        <w:rPr>
          <w:rStyle w:val="CommentReference"/>
        </w:rPr>
        <w:annotationRef/>
      </w:r>
    </w:p>
  </w:comment>
  <w:comment w:initials="B(" w:author="Bendito, Eduardo Garcia (IITA)" w:date="2021-10-08T18:24:20" w:id="1900257936">
    <w:p w:rsidR="1C6EF2ED" w:rsidRDefault="1C6EF2ED" w14:paraId="4643D702" w14:textId="5FFE3C5F">
      <w:pPr>
        <w:pStyle w:val="CommentText"/>
      </w:pPr>
      <w:r w:rsidR="1C6EF2ED">
        <w:rPr/>
        <w:t>Based and following some of the descriptions in: https://dopa.jrc.ec.europa.eu/static/dopa/static/dopa/files/factsheets/en/DOPA%20Factsheet%20J1%20EN%20Soil%20Carbon.pdf</w:t>
      </w:r>
      <w:r>
        <w:rPr>
          <w:rStyle w:val="CommentReference"/>
        </w:rPr>
        <w:annotationRef/>
      </w:r>
    </w:p>
  </w:comment>
  <w:comment w:initials="B(" w:author="Bendito, Eduardo Garcia (IITA)" w:date="2021-10-08T18:24:39" w:id="1585813218">
    <w:p w:rsidR="1C6EF2ED" w:rsidRDefault="1C6EF2ED" w14:paraId="74181F9C" w14:textId="09760534">
      <w:pPr>
        <w:pStyle w:val="CommentText"/>
      </w:pPr>
      <w:r w:rsidR="1C6EF2ED">
        <w:rPr/>
        <w:t>Based and following most of the descriptions in: https://dopa.jrc.ec.europa.eu/static/dopa/static/dopa/files/factsheets/en/DOPA%20Factsheet%20J2%20EN%20Above-Ground%20Carbon%20Stock.pdf</w:t>
      </w:r>
      <w:r>
        <w:rPr>
          <w:rStyle w:val="CommentReference"/>
        </w:rPr>
        <w:annotationRef/>
      </w:r>
    </w:p>
  </w:comment>
  <w:comment w:initials="B(" w:author="Bendito, Eduardo Garcia (IITA)" w:date="2021-10-08T18:25:02" w:id="1270327235">
    <w:p w:rsidR="1C6EF2ED" w:rsidRDefault="1C6EF2ED" w14:paraId="70CC30AB" w14:textId="7C072BC4">
      <w:pPr>
        <w:pStyle w:val="CommentText"/>
      </w:pPr>
      <w:r w:rsidR="1C6EF2ED">
        <w:rPr/>
        <w:t>Based and following most of the descriptions in: https://dopa.jrc.ec.europa.eu/static/dopa/static/dopa/files/factsheets/en/DOPA%20Factsheet%20J3%20EN%20Below%20Ground%20Carbon.pdf</w:t>
      </w:r>
      <w:r>
        <w:rPr>
          <w:rStyle w:val="CommentReference"/>
        </w:rPr>
        <w:annotationRef/>
      </w:r>
    </w:p>
  </w:comment>
  <w:comment w:initials="B(" w:author="Bendito, Eduardo Garcia (IITA)" w:date="2021-10-08T18:47:44" w:id="1035580028">
    <w:p w:rsidR="1C6EF2ED" w:rsidRDefault="1C6EF2ED" w14:paraId="7E610157" w14:textId="2EF5DB71">
      <w:pPr>
        <w:pStyle w:val="CommentText"/>
      </w:pPr>
      <w:r w:rsidR="1C6EF2ED">
        <w:rPr/>
        <w:t>Change maps and improve</w:t>
      </w:r>
      <w:r>
        <w:rPr>
          <w:rStyle w:val="CommentReference"/>
        </w:rPr>
        <w:annotationRef/>
      </w:r>
    </w:p>
  </w:comment>
  <w:comment w:initials="B(" w:author="Bendito, Eduardo Garcia (IITA)" w:date="2021-10-08T19:15:44" w:id="1088751056">
    <w:p w:rsidR="1C6EF2ED" w:rsidRDefault="1C6EF2ED" w14:paraId="68131BF8" w14:textId="6ADF3568">
      <w:pPr>
        <w:pStyle w:val="CommentText"/>
      </w:pPr>
      <w:r w:rsidR="1C6EF2ED">
        <w:rPr/>
        <w:t>The figures here are incorrect, due to overlapping of PAs. This would need to be calculated with the flattened PA x country.</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5BF8310"/>
  <w15:commentEx w15:done="0" w15:paraId="75EF8E46"/>
  <w15:commentEx w15:done="0" w15:paraId="121D8581"/>
  <w15:commentEx w15:done="0" w15:paraId="4643D702"/>
  <w15:commentEx w15:done="0" w15:paraId="74181F9C"/>
  <w15:commentEx w15:done="0" w15:paraId="70CC30AB"/>
  <w15:commentEx w15:done="0" w15:paraId="7E610157"/>
  <w15:commentEx w15:done="0" w15:paraId="68131BF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7E2A3EC" w16cex:dateUtc="2021-10-05T09:23:40.039Z"/>
  <w16cex:commentExtensible w16cex:durableId="3987EA7F" w16cex:dateUtc="2021-10-08T15:23:17.86Z"/>
  <w16cex:commentExtensible w16cex:durableId="15150D0C" w16cex:dateUtc="2021-10-08T15:23:59.608Z"/>
  <w16cex:commentExtensible w16cex:durableId="363E033F" w16cex:dateUtc="2021-10-08T15:24:20.612Z"/>
  <w16cex:commentExtensible w16cex:durableId="64C570F9" w16cex:dateUtc="2021-10-08T15:24:39.208Z"/>
  <w16cex:commentExtensible w16cex:durableId="6EE713A7" w16cex:dateUtc="2021-10-08T15:25:02.15Z"/>
  <w16cex:commentExtensible w16cex:durableId="681545C5" w16cex:dateUtc="2021-10-08T15:47:44.851Z"/>
  <w16cex:commentExtensible w16cex:durableId="54EB0AB8" w16cex:dateUtc="2021-10-08T16:15:44.694Z"/>
</w16cex:commentsExtensible>
</file>

<file path=word/commentsIds.xml><?xml version="1.0" encoding="utf-8"?>
<w16cid:commentsIds xmlns:mc="http://schemas.openxmlformats.org/markup-compatibility/2006" xmlns:w16cid="http://schemas.microsoft.com/office/word/2016/wordml/cid" mc:Ignorable="w16cid">
  <w16cid:commentId w16cid:paraId="05BF8310" w16cid:durableId="77E2A3EC"/>
  <w16cid:commentId w16cid:paraId="75EF8E46" w16cid:durableId="3987EA7F"/>
  <w16cid:commentId w16cid:paraId="121D8581" w16cid:durableId="15150D0C"/>
  <w16cid:commentId w16cid:paraId="4643D702" w16cid:durableId="363E033F"/>
  <w16cid:commentId w16cid:paraId="74181F9C" w16cid:durableId="64C570F9"/>
  <w16cid:commentId w16cid:paraId="70CC30AB" w16cid:durableId="6EE713A7"/>
  <w16cid:commentId w16cid:paraId="7E610157" w16cid:durableId="681545C5"/>
  <w16cid:commentId w16cid:paraId="68131BF8" w16cid:durableId="54EB0A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Bendito, Eduardo Garcia (IITA)">
    <w15:presenceInfo w15:providerId="AD" w15:userId="S::e.bendito@cgiar.org::af8509a8-b7e8-447d-b6ab-198138911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9B8896"/>
    <w:rsid w:val="0008CA04"/>
    <w:rsid w:val="00146C8F"/>
    <w:rsid w:val="003351B5"/>
    <w:rsid w:val="003351B5"/>
    <w:rsid w:val="00476E9D"/>
    <w:rsid w:val="00763A01"/>
    <w:rsid w:val="00A5ABC8"/>
    <w:rsid w:val="00CA3ABA"/>
    <w:rsid w:val="00E0A91D"/>
    <w:rsid w:val="00FD0C5D"/>
    <w:rsid w:val="00FE3266"/>
    <w:rsid w:val="011507E4"/>
    <w:rsid w:val="0125874D"/>
    <w:rsid w:val="013162CB"/>
    <w:rsid w:val="015ED5F5"/>
    <w:rsid w:val="0199B787"/>
    <w:rsid w:val="01C11C1B"/>
    <w:rsid w:val="01C11C1B"/>
    <w:rsid w:val="01C599E7"/>
    <w:rsid w:val="01E6E9AD"/>
    <w:rsid w:val="01E6E9AD"/>
    <w:rsid w:val="02006AE3"/>
    <w:rsid w:val="020D6B75"/>
    <w:rsid w:val="0219E583"/>
    <w:rsid w:val="0234BDEA"/>
    <w:rsid w:val="0246253F"/>
    <w:rsid w:val="024ED60B"/>
    <w:rsid w:val="025F0FE8"/>
    <w:rsid w:val="0279F1E1"/>
    <w:rsid w:val="02A579B3"/>
    <w:rsid w:val="02CBAACC"/>
    <w:rsid w:val="0309ACF8"/>
    <w:rsid w:val="0309ACF8"/>
    <w:rsid w:val="03485960"/>
    <w:rsid w:val="0361ABC5"/>
    <w:rsid w:val="03848251"/>
    <w:rsid w:val="039D0E0D"/>
    <w:rsid w:val="03B3E0BC"/>
    <w:rsid w:val="03DABBC0"/>
    <w:rsid w:val="03E444B7"/>
    <w:rsid w:val="03FAD382"/>
    <w:rsid w:val="041CCCA8"/>
    <w:rsid w:val="042ADBDC"/>
    <w:rsid w:val="042B937A"/>
    <w:rsid w:val="0432AE35"/>
    <w:rsid w:val="043A1FA4"/>
    <w:rsid w:val="0444DAE3"/>
    <w:rsid w:val="04548B1E"/>
    <w:rsid w:val="04E202CD"/>
    <w:rsid w:val="05044197"/>
    <w:rsid w:val="0509763F"/>
    <w:rsid w:val="052C1C2F"/>
    <w:rsid w:val="052C1C2F"/>
    <w:rsid w:val="0540AF6D"/>
    <w:rsid w:val="056270FD"/>
    <w:rsid w:val="05DC1723"/>
    <w:rsid w:val="05DC1723"/>
    <w:rsid w:val="05E5BC6C"/>
    <w:rsid w:val="05EDB586"/>
    <w:rsid w:val="062CC653"/>
    <w:rsid w:val="067ECC25"/>
    <w:rsid w:val="070B9D40"/>
    <w:rsid w:val="071123CD"/>
    <w:rsid w:val="0725CD8F"/>
    <w:rsid w:val="0745B697"/>
    <w:rsid w:val="07671DE7"/>
    <w:rsid w:val="07869C47"/>
    <w:rsid w:val="07869C47"/>
    <w:rsid w:val="0798E428"/>
    <w:rsid w:val="07A87B22"/>
    <w:rsid w:val="07B4AA70"/>
    <w:rsid w:val="07C02E9B"/>
    <w:rsid w:val="07CADB4C"/>
    <w:rsid w:val="07F4C4B7"/>
    <w:rsid w:val="08465120"/>
    <w:rsid w:val="08465120"/>
    <w:rsid w:val="084F3BA7"/>
    <w:rsid w:val="085317FA"/>
    <w:rsid w:val="08554556"/>
    <w:rsid w:val="0858F808"/>
    <w:rsid w:val="086FD6C4"/>
    <w:rsid w:val="0878502F"/>
    <w:rsid w:val="08E3B989"/>
    <w:rsid w:val="091C8ABC"/>
    <w:rsid w:val="09208D35"/>
    <w:rsid w:val="09394D16"/>
    <w:rsid w:val="09521EA2"/>
    <w:rsid w:val="096567B0"/>
    <w:rsid w:val="097AB334"/>
    <w:rsid w:val="09A33603"/>
    <w:rsid w:val="09A9C6A9"/>
    <w:rsid w:val="09B4D464"/>
    <w:rsid w:val="09DEE3FB"/>
    <w:rsid w:val="09E96BB7"/>
    <w:rsid w:val="0A1181DA"/>
    <w:rsid w:val="0A151277"/>
    <w:rsid w:val="0A1E78AE"/>
    <w:rsid w:val="0A246962"/>
    <w:rsid w:val="0A2BFA88"/>
    <w:rsid w:val="0A370AD3"/>
    <w:rsid w:val="0A4AB9CC"/>
    <w:rsid w:val="0A4E98FF"/>
    <w:rsid w:val="0A71C550"/>
    <w:rsid w:val="0A7F2D5A"/>
    <w:rsid w:val="0A8233CF"/>
    <w:rsid w:val="0AA0E1B3"/>
    <w:rsid w:val="0AA36B00"/>
    <w:rsid w:val="0AF52AE7"/>
    <w:rsid w:val="0B209BE7"/>
    <w:rsid w:val="0B27E3B9"/>
    <w:rsid w:val="0B426CE2"/>
    <w:rsid w:val="0B554B1F"/>
    <w:rsid w:val="0B5BE8B0"/>
    <w:rsid w:val="0B693207"/>
    <w:rsid w:val="0B9B5DB3"/>
    <w:rsid w:val="0B9B5DB3"/>
    <w:rsid w:val="0BC62EAC"/>
    <w:rsid w:val="0BD57C8D"/>
    <w:rsid w:val="0BFDEEDD"/>
    <w:rsid w:val="0C27150F"/>
    <w:rsid w:val="0C2B8EF6"/>
    <w:rsid w:val="0C4FCD97"/>
    <w:rsid w:val="0C51612E"/>
    <w:rsid w:val="0C6FC39F"/>
    <w:rsid w:val="0C7267EC"/>
    <w:rsid w:val="0C821B46"/>
    <w:rsid w:val="0C90FB48"/>
    <w:rsid w:val="0C91FE53"/>
    <w:rsid w:val="0C98A958"/>
    <w:rsid w:val="0CC7F34E"/>
    <w:rsid w:val="0CF6665D"/>
    <w:rsid w:val="0D020A70"/>
    <w:rsid w:val="0D1A0AA3"/>
    <w:rsid w:val="0D2CBA7A"/>
    <w:rsid w:val="0D4505F1"/>
    <w:rsid w:val="0D99CC7E"/>
    <w:rsid w:val="0DA2CB0E"/>
    <w:rsid w:val="0DD61935"/>
    <w:rsid w:val="0DE72908"/>
    <w:rsid w:val="0DED318F"/>
    <w:rsid w:val="0DF9C988"/>
    <w:rsid w:val="0DF9E455"/>
    <w:rsid w:val="0E0CBBFE"/>
    <w:rsid w:val="0E391CB5"/>
    <w:rsid w:val="0E39C128"/>
    <w:rsid w:val="0E482EAB"/>
    <w:rsid w:val="0E54528E"/>
    <w:rsid w:val="0E717D0B"/>
    <w:rsid w:val="0EA27773"/>
    <w:rsid w:val="0EA32AF8"/>
    <w:rsid w:val="0EFBF0BF"/>
    <w:rsid w:val="0F364A22"/>
    <w:rsid w:val="0F3BDDC1"/>
    <w:rsid w:val="0F4C7BA9"/>
    <w:rsid w:val="0F6D8387"/>
    <w:rsid w:val="0F7885CF"/>
    <w:rsid w:val="0F83D6C4"/>
    <w:rsid w:val="0FA4D75F"/>
    <w:rsid w:val="0FA6B416"/>
    <w:rsid w:val="0FB83617"/>
    <w:rsid w:val="0FC96B72"/>
    <w:rsid w:val="0FDB60BA"/>
    <w:rsid w:val="0FDF8906"/>
    <w:rsid w:val="0FF69365"/>
    <w:rsid w:val="101D8AA6"/>
    <w:rsid w:val="1052D281"/>
    <w:rsid w:val="1071B51D"/>
    <w:rsid w:val="109255E8"/>
    <w:rsid w:val="1097F159"/>
    <w:rsid w:val="10A01ED9"/>
    <w:rsid w:val="10AE3613"/>
    <w:rsid w:val="10DFA6DC"/>
    <w:rsid w:val="10EB527D"/>
    <w:rsid w:val="10EE57D2"/>
    <w:rsid w:val="113E9791"/>
    <w:rsid w:val="118004B3"/>
    <w:rsid w:val="11A739F0"/>
    <w:rsid w:val="11C638FD"/>
    <w:rsid w:val="11DE74EB"/>
    <w:rsid w:val="11F0903A"/>
    <w:rsid w:val="11FA54BF"/>
    <w:rsid w:val="11FEF4CE"/>
    <w:rsid w:val="120BBA3A"/>
    <w:rsid w:val="121FC181"/>
    <w:rsid w:val="1250F7CF"/>
    <w:rsid w:val="12754E76"/>
    <w:rsid w:val="12AE8D4E"/>
    <w:rsid w:val="12BC063F"/>
    <w:rsid w:val="12C1049A"/>
    <w:rsid w:val="12C8BF91"/>
    <w:rsid w:val="12DD5BB1"/>
    <w:rsid w:val="1310B53B"/>
    <w:rsid w:val="13490D78"/>
    <w:rsid w:val="13B91829"/>
    <w:rsid w:val="13E8EB0B"/>
    <w:rsid w:val="1406C46F"/>
    <w:rsid w:val="140B6C49"/>
    <w:rsid w:val="141AF993"/>
    <w:rsid w:val="1427DCAE"/>
    <w:rsid w:val="1429283F"/>
    <w:rsid w:val="1430E2B6"/>
    <w:rsid w:val="14496CA7"/>
    <w:rsid w:val="144D6C51"/>
    <w:rsid w:val="14D625FB"/>
    <w:rsid w:val="14F9B4A3"/>
    <w:rsid w:val="15269188"/>
    <w:rsid w:val="1532FB85"/>
    <w:rsid w:val="154EA26F"/>
    <w:rsid w:val="156FA301"/>
    <w:rsid w:val="157EB620"/>
    <w:rsid w:val="159D5CFE"/>
    <w:rsid w:val="15B00B2A"/>
    <w:rsid w:val="15BEF231"/>
    <w:rsid w:val="15CC00AA"/>
    <w:rsid w:val="161DC5FD"/>
    <w:rsid w:val="162ABC62"/>
    <w:rsid w:val="162ABC62"/>
    <w:rsid w:val="163602EC"/>
    <w:rsid w:val="165EEE15"/>
    <w:rsid w:val="169A51FD"/>
    <w:rsid w:val="169D2B35"/>
    <w:rsid w:val="16E55C22"/>
    <w:rsid w:val="16EE441B"/>
    <w:rsid w:val="17212133"/>
    <w:rsid w:val="175556E4"/>
    <w:rsid w:val="1756DB60"/>
    <w:rsid w:val="1767153E"/>
    <w:rsid w:val="178967F8"/>
    <w:rsid w:val="178C0DD2"/>
    <w:rsid w:val="17A52DF5"/>
    <w:rsid w:val="17A9FEFF"/>
    <w:rsid w:val="17AFF201"/>
    <w:rsid w:val="17C68CC3"/>
    <w:rsid w:val="17EE6025"/>
    <w:rsid w:val="18312560"/>
    <w:rsid w:val="18443217"/>
    <w:rsid w:val="1861E5CD"/>
    <w:rsid w:val="186ADE96"/>
    <w:rsid w:val="186F9738"/>
    <w:rsid w:val="18737F8E"/>
    <w:rsid w:val="18FF6AA3"/>
    <w:rsid w:val="1904960C"/>
    <w:rsid w:val="191DEF66"/>
    <w:rsid w:val="19436432"/>
    <w:rsid w:val="1961B03D"/>
    <w:rsid w:val="199AA275"/>
    <w:rsid w:val="19A87BE5"/>
    <w:rsid w:val="19B03B3E"/>
    <w:rsid w:val="19D6596E"/>
    <w:rsid w:val="19EB8B7B"/>
    <w:rsid w:val="1A004961"/>
    <w:rsid w:val="1A1276EA"/>
    <w:rsid w:val="1A242090"/>
    <w:rsid w:val="1A3F93DB"/>
    <w:rsid w:val="1A4731B6"/>
    <w:rsid w:val="1A589E64"/>
    <w:rsid w:val="1A6484F3"/>
    <w:rsid w:val="1A6484F3"/>
    <w:rsid w:val="1A72D6A6"/>
    <w:rsid w:val="1A83A481"/>
    <w:rsid w:val="1AA7642B"/>
    <w:rsid w:val="1AA9223C"/>
    <w:rsid w:val="1AB8F051"/>
    <w:rsid w:val="1AB9FA2F"/>
    <w:rsid w:val="1AEE54B0"/>
    <w:rsid w:val="1B3AD80D"/>
    <w:rsid w:val="1B4B60F1"/>
    <w:rsid w:val="1B5830B6"/>
    <w:rsid w:val="1B76994D"/>
    <w:rsid w:val="1B7AED4F"/>
    <w:rsid w:val="1B830E56"/>
    <w:rsid w:val="1B9823DE"/>
    <w:rsid w:val="1BB82284"/>
    <w:rsid w:val="1BCDA498"/>
    <w:rsid w:val="1BDBC9AC"/>
    <w:rsid w:val="1C05CC33"/>
    <w:rsid w:val="1C0F4B26"/>
    <w:rsid w:val="1C30350F"/>
    <w:rsid w:val="1C38D911"/>
    <w:rsid w:val="1C3A0949"/>
    <w:rsid w:val="1C3AB10B"/>
    <w:rsid w:val="1C6EF2ED"/>
    <w:rsid w:val="1C735BE6"/>
    <w:rsid w:val="1CAB54D1"/>
    <w:rsid w:val="1CB75841"/>
    <w:rsid w:val="1CDDE026"/>
    <w:rsid w:val="1D1873F3"/>
    <w:rsid w:val="1D61470E"/>
    <w:rsid w:val="1D7DE783"/>
    <w:rsid w:val="1D9E577F"/>
    <w:rsid w:val="1D9F9DA9"/>
    <w:rsid w:val="1DDB9D33"/>
    <w:rsid w:val="1DE19FA2"/>
    <w:rsid w:val="1E1A5AB4"/>
    <w:rsid w:val="1E2E9E97"/>
    <w:rsid w:val="1E2E9E97"/>
    <w:rsid w:val="1E40BDA3"/>
    <w:rsid w:val="1E562637"/>
    <w:rsid w:val="1E74F93F"/>
    <w:rsid w:val="1E7BEAFC"/>
    <w:rsid w:val="1E9B833E"/>
    <w:rsid w:val="1EB73727"/>
    <w:rsid w:val="1EB73727"/>
    <w:rsid w:val="1EBC337C"/>
    <w:rsid w:val="1ED0DD87"/>
    <w:rsid w:val="1EEE4F94"/>
    <w:rsid w:val="1EF1ED4D"/>
    <w:rsid w:val="1F30A034"/>
    <w:rsid w:val="1F6694F1"/>
    <w:rsid w:val="1F7C71C1"/>
    <w:rsid w:val="1F7D6EC2"/>
    <w:rsid w:val="1F7D6EC2"/>
    <w:rsid w:val="1FCA6EF8"/>
    <w:rsid w:val="1FE7F0CD"/>
    <w:rsid w:val="1FED18F3"/>
    <w:rsid w:val="1FEDFEE7"/>
    <w:rsid w:val="2007014E"/>
    <w:rsid w:val="2054D027"/>
    <w:rsid w:val="20684E7F"/>
    <w:rsid w:val="207149AB"/>
    <w:rsid w:val="20839845"/>
    <w:rsid w:val="2095261D"/>
    <w:rsid w:val="20B95A6A"/>
    <w:rsid w:val="20F32E97"/>
    <w:rsid w:val="20FE4024"/>
    <w:rsid w:val="2107F4F5"/>
    <w:rsid w:val="21293BB3"/>
    <w:rsid w:val="212F82E7"/>
    <w:rsid w:val="2138A905"/>
    <w:rsid w:val="2148898A"/>
    <w:rsid w:val="21663F59"/>
    <w:rsid w:val="21827246"/>
    <w:rsid w:val="218F7DEF"/>
    <w:rsid w:val="21BCCC62"/>
    <w:rsid w:val="221B9147"/>
    <w:rsid w:val="221E27DA"/>
    <w:rsid w:val="22388805"/>
    <w:rsid w:val="2248D6F2"/>
    <w:rsid w:val="225FA05E"/>
    <w:rsid w:val="2299AFA1"/>
    <w:rsid w:val="22A54DD8"/>
    <w:rsid w:val="22C43B2C"/>
    <w:rsid w:val="23418660"/>
    <w:rsid w:val="2346E04B"/>
    <w:rsid w:val="238AA84A"/>
    <w:rsid w:val="238B4B39"/>
    <w:rsid w:val="239A6C57"/>
    <w:rsid w:val="23A0E4F1"/>
    <w:rsid w:val="23B14F44"/>
    <w:rsid w:val="23C155AE"/>
    <w:rsid w:val="23F23EDC"/>
    <w:rsid w:val="23F2912B"/>
    <w:rsid w:val="2414DEAC"/>
    <w:rsid w:val="242B7BBB"/>
    <w:rsid w:val="2435D611"/>
    <w:rsid w:val="2437B788"/>
    <w:rsid w:val="2437B788"/>
    <w:rsid w:val="2450DA1F"/>
    <w:rsid w:val="245CA152"/>
    <w:rsid w:val="245CEA72"/>
    <w:rsid w:val="2479C227"/>
    <w:rsid w:val="2499CA9C"/>
    <w:rsid w:val="24A7475E"/>
    <w:rsid w:val="24B815B7"/>
    <w:rsid w:val="24C0C9EE"/>
    <w:rsid w:val="24C48923"/>
    <w:rsid w:val="24D6306A"/>
    <w:rsid w:val="24F16F9A"/>
    <w:rsid w:val="250D44D6"/>
    <w:rsid w:val="250DA3FB"/>
    <w:rsid w:val="251BF30C"/>
    <w:rsid w:val="25278A64"/>
    <w:rsid w:val="252CD29A"/>
    <w:rsid w:val="252CD29A"/>
    <w:rsid w:val="256E10D5"/>
    <w:rsid w:val="25C84C64"/>
    <w:rsid w:val="260554C2"/>
    <w:rsid w:val="263C1AB3"/>
    <w:rsid w:val="2652D8E0"/>
    <w:rsid w:val="2658CEC8"/>
    <w:rsid w:val="267A9054"/>
    <w:rsid w:val="26D0E152"/>
    <w:rsid w:val="27194E1B"/>
    <w:rsid w:val="2729F5CD"/>
    <w:rsid w:val="2731164F"/>
    <w:rsid w:val="274D2759"/>
    <w:rsid w:val="27E4285C"/>
    <w:rsid w:val="27E700BD"/>
    <w:rsid w:val="27F0E3F7"/>
    <w:rsid w:val="281393CC"/>
    <w:rsid w:val="28332B45"/>
    <w:rsid w:val="2854AB33"/>
    <w:rsid w:val="28622F3D"/>
    <w:rsid w:val="28A37489"/>
    <w:rsid w:val="28B1553E"/>
    <w:rsid w:val="28B2A20D"/>
    <w:rsid w:val="28EB7CEF"/>
    <w:rsid w:val="29096B4B"/>
    <w:rsid w:val="291871A9"/>
    <w:rsid w:val="2922A75C"/>
    <w:rsid w:val="2922A75C"/>
    <w:rsid w:val="293CC547"/>
    <w:rsid w:val="2950F0DB"/>
    <w:rsid w:val="2989D6AD"/>
    <w:rsid w:val="298F75AD"/>
    <w:rsid w:val="2A0FE650"/>
    <w:rsid w:val="2A176F97"/>
    <w:rsid w:val="2A183A53"/>
    <w:rsid w:val="2A4326E5"/>
    <w:rsid w:val="2A56CEAF"/>
    <w:rsid w:val="2A69F55B"/>
    <w:rsid w:val="2A72A53B"/>
    <w:rsid w:val="2A8C7162"/>
    <w:rsid w:val="2A977A1D"/>
    <w:rsid w:val="2A9A5DF9"/>
    <w:rsid w:val="2AB4633C"/>
    <w:rsid w:val="2ABD276B"/>
    <w:rsid w:val="2AC29FDE"/>
    <w:rsid w:val="2AC3083D"/>
    <w:rsid w:val="2AD4C737"/>
    <w:rsid w:val="2B129E27"/>
    <w:rsid w:val="2B403342"/>
    <w:rsid w:val="2B48709D"/>
    <w:rsid w:val="2B67347E"/>
    <w:rsid w:val="2B734E23"/>
    <w:rsid w:val="2B9DD8DA"/>
    <w:rsid w:val="2BB1F8E8"/>
    <w:rsid w:val="2BCEB5E4"/>
    <w:rsid w:val="2C039E50"/>
    <w:rsid w:val="2C64EC3B"/>
    <w:rsid w:val="2C8C3C61"/>
    <w:rsid w:val="2CCA3906"/>
    <w:rsid w:val="2CFF5D7C"/>
    <w:rsid w:val="2D01DFBC"/>
    <w:rsid w:val="2D2FBC7A"/>
    <w:rsid w:val="2D3AC35A"/>
    <w:rsid w:val="2D4C073F"/>
    <w:rsid w:val="2D5F4E5B"/>
    <w:rsid w:val="2D78A66F"/>
    <w:rsid w:val="2D7EB515"/>
    <w:rsid w:val="2DBC0ABD"/>
    <w:rsid w:val="2DC7D493"/>
    <w:rsid w:val="2DFE9581"/>
    <w:rsid w:val="2DFE9581"/>
    <w:rsid w:val="2E382768"/>
    <w:rsid w:val="2E40C276"/>
    <w:rsid w:val="2EA0FAB4"/>
    <w:rsid w:val="2F0447A9"/>
    <w:rsid w:val="2F212860"/>
    <w:rsid w:val="2F21C195"/>
    <w:rsid w:val="2F642D88"/>
    <w:rsid w:val="2F7A6A2F"/>
    <w:rsid w:val="2FE11761"/>
    <w:rsid w:val="2FFD9BD6"/>
    <w:rsid w:val="300734B3"/>
    <w:rsid w:val="3019B7F7"/>
    <w:rsid w:val="306ED5A4"/>
    <w:rsid w:val="3076B8AC"/>
    <w:rsid w:val="30778F01"/>
    <w:rsid w:val="30854247"/>
    <w:rsid w:val="30A74F19"/>
    <w:rsid w:val="30AE85AB"/>
    <w:rsid w:val="30B8BD21"/>
    <w:rsid w:val="30B9185E"/>
    <w:rsid w:val="30C77C74"/>
    <w:rsid w:val="30CB3246"/>
    <w:rsid w:val="310C27DE"/>
    <w:rsid w:val="312DB941"/>
    <w:rsid w:val="3157160F"/>
    <w:rsid w:val="316851A2"/>
    <w:rsid w:val="318DADEB"/>
    <w:rsid w:val="31A01042"/>
    <w:rsid w:val="31C1CDCF"/>
    <w:rsid w:val="31C7DCC3"/>
    <w:rsid w:val="31E0B41B"/>
    <w:rsid w:val="321B385A"/>
    <w:rsid w:val="321B385A"/>
    <w:rsid w:val="322116D5"/>
    <w:rsid w:val="32320E6A"/>
    <w:rsid w:val="326D5E1B"/>
    <w:rsid w:val="329643A0"/>
    <w:rsid w:val="32F90788"/>
    <w:rsid w:val="32F96195"/>
    <w:rsid w:val="330E696F"/>
    <w:rsid w:val="3316E39E"/>
    <w:rsid w:val="331D6F85"/>
    <w:rsid w:val="3343493E"/>
    <w:rsid w:val="3391F223"/>
    <w:rsid w:val="33BEF641"/>
    <w:rsid w:val="33BEF641"/>
    <w:rsid w:val="33DA340E"/>
    <w:rsid w:val="33FAD345"/>
    <w:rsid w:val="344986C2"/>
    <w:rsid w:val="3491A44C"/>
    <w:rsid w:val="349531F6"/>
    <w:rsid w:val="349C5AA1"/>
    <w:rsid w:val="34C272F2"/>
    <w:rsid w:val="34D1CC20"/>
    <w:rsid w:val="34D293F2"/>
    <w:rsid w:val="34E00FBC"/>
    <w:rsid w:val="34E4EB67"/>
    <w:rsid w:val="34EDFC74"/>
    <w:rsid w:val="351E5826"/>
    <w:rsid w:val="352393B8"/>
    <w:rsid w:val="353D0F57"/>
    <w:rsid w:val="355A0E8E"/>
    <w:rsid w:val="355AC6A2"/>
    <w:rsid w:val="35676139"/>
    <w:rsid w:val="357D2EA7"/>
    <w:rsid w:val="357E2739"/>
    <w:rsid w:val="3589C6FA"/>
    <w:rsid w:val="35AED441"/>
    <w:rsid w:val="35BDA18D"/>
    <w:rsid w:val="35DB61AF"/>
    <w:rsid w:val="35DE146D"/>
    <w:rsid w:val="35F19939"/>
    <w:rsid w:val="360487FA"/>
    <w:rsid w:val="362424EE"/>
    <w:rsid w:val="362837BF"/>
    <w:rsid w:val="36305F68"/>
    <w:rsid w:val="3645E7F1"/>
    <w:rsid w:val="36491818"/>
    <w:rsid w:val="364D6F65"/>
    <w:rsid w:val="366D9C81"/>
    <w:rsid w:val="367ECD9D"/>
    <w:rsid w:val="36B059DF"/>
    <w:rsid w:val="36CDAA2F"/>
    <w:rsid w:val="36D34D21"/>
    <w:rsid w:val="36DFD063"/>
    <w:rsid w:val="36FF8717"/>
    <w:rsid w:val="371889F8"/>
    <w:rsid w:val="37359D84"/>
    <w:rsid w:val="374A5B92"/>
    <w:rsid w:val="374C7348"/>
    <w:rsid w:val="375971EE"/>
    <w:rsid w:val="375B59A0"/>
    <w:rsid w:val="379A29D2"/>
    <w:rsid w:val="37C17F1F"/>
    <w:rsid w:val="37C27B3E"/>
    <w:rsid w:val="37C55391"/>
    <w:rsid w:val="37D4E681"/>
    <w:rsid w:val="37F86D8C"/>
    <w:rsid w:val="37F8E21C"/>
    <w:rsid w:val="37FA5686"/>
    <w:rsid w:val="38050DB0"/>
    <w:rsid w:val="380FF65C"/>
    <w:rsid w:val="383E2AA0"/>
    <w:rsid w:val="383F7317"/>
    <w:rsid w:val="3846292A"/>
    <w:rsid w:val="38512F1B"/>
    <w:rsid w:val="38760404"/>
    <w:rsid w:val="388E6985"/>
    <w:rsid w:val="389F8A49"/>
    <w:rsid w:val="38A2E385"/>
    <w:rsid w:val="38A9F923"/>
    <w:rsid w:val="38C00895"/>
    <w:rsid w:val="3906187F"/>
    <w:rsid w:val="390FC743"/>
    <w:rsid w:val="39165658"/>
    <w:rsid w:val="3916DACC"/>
    <w:rsid w:val="391D1FB2"/>
    <w:rsid w:val="394CCBD0"/>
    <w:rsid w:val="396F880E"/>
    <w:rsid w:val="39742537"/>
    <w:rsid w:val="39A708DF"/>
    <w:rsid w:val="39A94CAD"/>
    <w:rsid w:val="39B93156"/>
    <w:rsid w:val="39DA65E0"/>
    <w:rsid w:val="39DE9F0C"/>
    <w:rsid w:val="39E3D026"/>
    <w:rsid w:val="3A178EA7"/>
    <w:rsid w:val="3A187605"/>
    <w:rsid w:val="3A1D3D9B"/>
    <w:rsid w:val="3A2E70DC"/>
    <w:rsid w:val="3A86C861"/>
    <w:rsid w:val="3A8DAD68"/>
    <w:rsid w:val="3AA2B334"/>
    <w:rsid w:val="3B1AEB0E"/>
    <w:rsid w:val="3B404488"/>
    <w:rsid w:val="3B597571"/>
    <w:rsid w:val="3B597571"/>
    <w:rsid w:val="3B5F85AD"/>
    <w:rsid w:val="3B608B7B"/>
    <w:rsid w:val="3B62C433"/>
    <w:rsid w:val="3B679679"/>
    <w:rsid w:val="3B88CFDD"/>
    <w:rsid w:val="3B88CFDD"/>
    <w:rsid w:val="3B9744A9"/>
    <w:rsid w:val="3BB52A88"/>
    <w:rsid w:val="3BD68483"/>
    <w:rsid w:val="3C0F5C99"/>
    <w:rsid w:val="3C1CABF1"/>
    <w:rsid w:val="3C25CC7C"/>
    <w:rsid w:val="3C43C115"/>
    <w:rsid w:val="3C6AAD9C"/>
    <w:rsid w:val="3C82E047"/>
    <w:rsid w:val="3C8D72C6"/>
    <w:rsid w:val="3C92F55E"/>
    <w:rsid w:val="3CB1D7E2"/>
    <w:rsid w:val="3CC43A52"/>
    <w:rsid w:val="3CF819DF"/>
    <w:rsid w:val="3D163A48"/>
    <w:rsid w:val="3D178036"/>
    <w:rsid w:val="3D20CD51"/>
    <w:rsid w:val="3D2E9234"/>
    <w:rsid w:val="3D585298"/>
    <w:rsid w:val="3D6106D2"/>
    <w:rsid w:val="3D7318B9"/>
    <w:rsid w:val="3D945BB3"/>
    <w:rsid w:val="3D9E2631"/>
    <w:rsid w:val="3DA59973"/>
    <w:rsid w:val="3DBD5A91"/>
    <w:rsid w:val="3E258B07"/>
    <w:rsid w:val="3E4D2B10"/>
    <w:rsid w:val="3E4FC556"/>
    <w:rsid w:val="3E796A44"/>
    <w:rsid w:val="3E8CBA20"/>
    <w:rsid w:val="3EAA0C9E"/>
    <w:rsid w:val="3EB77D99"/>
    <w:rsid w:val="3EC32418"/>
    <w:rsid w:val="3EC7749D"/>
    <w:rsid w:val="3EEF4548"/>
    <w:rsid w:val="3F4F7DFB"/>
    <w:rsid w:val="3F8A8A7D"/>
    <w:rsid w:val="3F936F5D"/>
    <w:rsid w:val="3F959C0E"/>
    <w:rsid w:val="3FC1C118"/>
    <w:rsid w:val="40013EC7"/>
    <w:rsid w:val="400FEA14"/>
    <w:rsid w:val="40147EC7"/>
    <w:rsid w:val="4036C06E"/>
    <w:rsid w:val="403AE129"/>
    <w:rsid w:val="404318A3"/>
    <w:rsid w:val="404318A3"/>
    <w:rsid w:val="405A8397"/>
    <w:rsid w:val="406E1445"/>
    <w:rsid w:val="407527D7"/>
    <w:rsid w:val="40884648"/>
    <w:rsid w:val="4089FEAF"/>
    <w:rsid w:val="40ACA219"/>
    <w:rsid w:val="40B0F605"/>
    <w:rsid w:val="40BF9B89"/>
    <w:rsid w:val="40D59B0A"/>
    <w:rsid w:val="4109E0DB"/>
    <w:rsid w:val="41452875"/>
    <w:rsid w:val="4184DA98"/>
    <w:rsid w:val="41A3F611"/>
    <w:rsid w:val="41A843B3"/>
    <w:rsid w:val="41E63F12"/>
    <w:rsid w:val="41F97A41"/>
    <w:rsid w:val="42280ED3"/>
    <w:rsid w:val="42582C82"/>
    <w:rsid w:val="42645986"/>
    <w:rsid w:val="426F8BBA"/>
    <w:rsid w:val="429FA77A"/>
    <w:rsid w:val="42A79C70"/>
    <w:rsid w:val="42D437BF"/>
    <w:rsid w:val="42E624C9"/>
    <w:rsid w:val="42EC4FF0"/>
    <w:rsid w:val="42F8FE83"/>
    <w:rsid w:val="42F98BC2"/>
    <w:rsid w:val="42FD8A5B"/>
    <w:rsid w:val="431A1E5F"/>
    <w:rsid w:val="433CB6C1"/>
    <w:rsid w:val="43522180"/>
    <w:rsid w:val="4352CEF5"/>
    <w:rsid w:val="437C2396"/>
    <w:rsid w:val="439D1C6D"/>
    <w:rsid w:val="43AD1DFA"/>
    <w:rsid w:val="43BC949A"/>
    <w:rsid w:val="43F61048"/>
    <w:rsid w:val="44257876"/>
    <w:rsid w:val="44343725"/>
    <w:rsid w:val="4440AA4E"/>
    <w:rsid w:val="44640C9E"/>
    <w:rsid w:val="446D6A24"/>
    <w:rsid w:val="44890FC0"/>
    <w:rsid w:val="44B7613A"/>
    <w:rsid w:val="44C26E76"/>
    <w:rsid w:val="44EABC2A"/>
    <w:rsid w:val="45037A57"/>
    <w:rsid w:val="454CE87C"/>
    <w:rsid w:val="4557C20F"/>
    <w:rsid w:val="4557C20F"/>
    <w:rsid w:val="455DB83B"/>
    <w:rsid w:val="456709CB"/>
    <w:rsid w:val="45AD1C8F"/>
    <w:rsid w:val="45CFA093"/>
    <w:rsid w:val="464CC3FD"/>
    <w:rsid w:val="465E3ED7"/>
    <w:rsid w:val="468C8399"/>
    <w:rsid w:val="46E37CE7"/>
    <w:rsid w:val="46F39270"/>
    <w:rsid w:val="4706AFB1"/>
    <w:rsid w:val="47120399"/>
    <w:rsid w:val="47195B5C"/>
    <w:rsid w:val="47244001"/>
    <w:rsid w:val="47248EC7"/>
    <w:rsid w:val="4760B7E8"/>
    <w:rsid w:val="4779A286"/>
    <w:rsid w:val="479B4D07"/>
    <w:rsid w:val="47D7BC9C"/>
    <w:rsid w:val="4802C67E"/>
    <w:rsid w:val="483117BF"/>
    <w:rsid w:val="484BEBEC"/>
    <w:rsid w:val="485B2DA0"/>
    <w:rsid w:val="486AD624"/>
    <w:rsid w:val="48860E25"/>
    <w:rsid w:val="488ED829"/>
    <w:rsid w:val="48A88B2E"/>
    <w:rsid w:val="48C9F64A"/>
    <w:rsid w:val="48DBDE5A"/>
    <w:rsid w:val="490F97C2"/>
    <w:rsid w:val="491861C6"/>
    <w:rsid w:val="4924E39B"/>
    <w:rsid w:val="4969FD67"/>
    <w:rsid w:val="497A05B0"/>
    <w:rsid w:val="49817C60"/>
    <w:rsid w:val="49822F3F"/>
    <w:rsid w:val="49877240"/>
    <w:rsid w:val="49877240"/>
    <w:rsid w:val="49BBA89B"/>
    <w:rsid w:val="49E9053D"/>
    <w:rsid w:val="4A19F85B"/>
    <w:rsid w:val="4A2E4333"/>
    <w:rsid w:val="4A514757"/>
    <w:rsid w:val="4A76495D"/>
    <w:rsid w:val="4A76EDB3"/>
    <w:rsid w:val="4AD58A17"/>
    <w:rsid w:val="4AFFC93E"/>
    <w:rsid w:val="4B3B6A1F"/>
    <w:rsid w:val="4B63F7AC"/>
    <w:rsid w:val="4B6F0C60"/>
    <w:rsid w:val="4BB227B2"/>
    <w:rsid w:val="4BDEEDA9"/>
    <w:rsid w:val="4BF1784F"/>
    <w:rsid w:val="4C284AEB"/>
    <w:rsid w:val="4C38FD5B"/>
    <w:rsid w:val="4C3AE62C"/>
    <w:rsid w:val="4C49D16A"/>
    <w:rsid w:val="4C5E17A4"/>
    <w:rsid w:val="4C60C1E0"/>
    <w:rsid w:val="4C60C1E0"/>
    <w:rsid w:val="4C6A6A7D"/>
    <w:rsid w:val="4C6C8CDE"/>
    <w:rsid w:val="4C9CAE99"/>
    <w:rsid w:val="4CA78FC1"/>
    <w:rsid w:val="4CAB1C23"/>
    <w:rsid w:val="4CDCAEA9"/>
    <w:rsid w:val="4CE9C642"/>
    <w:rsid w:val="4D3BA675"/>
    <w:rsid w:val="4D6AB8B4"/>
    <w:rsid w:val="4DB41B41"/>
    <w:rsid w:val="4DC3ED7E"/>
    <w:rsid w:val="4E10FA5E"/>
    <w:rsid w:val="4E25A74A"/>
    <w:rsid w:val="4E446879"/>
    <w:rsid w:val="4E47F256"/>
    <w:rsid w:val="4E8C3703"/>
    <w:rsid w:val="4E8ECF4E"/>
    <w:rsid w:val="4E979C77"/>
    <w:rsid w:val="4EB3CF44"/>
    <w:rsid w:val="4EDBBF40"/>
    <w:rsid w:val="4EEBAC1E"/>
    <w:rsid w:val="4EEBAC1E"/>
    <w:rsid w:val="4F19574F"/>
    <w:rsid w:val="4F26DB30"/>
    <w:rsid w:val="4F2CD29C"/>
    <w:rsid w:val="4F4A53C7"/>
    <w:rsid w:val="4F892EF2"/>
    <w:rsid w:val="4F8D2861"/>
    <w:rsid w:val="4FC5370F"/>
    <w:rsid w:val="4FDABC6D"/>
    <w:rsid w:val="4FDABC6D"/>
    <w:rsid w:val="4FE8319D"/>
    <w:rsid w:val="4FE8319D"/>
    <w:rsid w:val="4FEB9ABD"/>
    <w:rsid w:val="5001F310"/>
    <w:rsid w:val="501D7724"/>
    <w:rsid w:val="502C7059"/>
    <w:rsid w:val="502DFC0A"/>
    <w:rsid w:val="50365332"/>
    <w:rsid w:val="5061A0C2"/>
    <w:rsid w:val="508F1EC3"/>
    <w:rsid w:val="50C8A2FD"/>
    <w:rsid w:val="50D73244"/>
    <w:rsid w:val="50E763C3"/>
    <w:rsid w:val="50E8B04F"/>
    <w:rsid w:val="5114A21E"/>
    <w:rsid w:val="511BCFEE"/>
    <w:rsid w:val="513C5566"/>
    <w:rsid w:val="5148D975"/>
    <w:rsid w:val="51495355"/>
    <w:rsid w:val="515F1650"/>
    <w:rsid w:val="515F3EA2"/>
    <w:rsid w:val="51A7F831"/>
    <w:rsid w:val="51AA861F"/>
    <w:rsid w:val="51C96B87"/>
    <w:rsid w:val="51FCDFB9"/>
    <w:rsid w:val="5216EB5D"/>
    <w:rsid w:val="522730A9"/>
    <w:rsid w:val="522D572B"/>
    <w:rsid w:val="5236FAA1"/>
    <w:rsid w:val="523A6D4C"/>
    <w:rsid w:val="5247075F"/>
    <w:rsid w:val="524E2F2D"/>
    <w:rsid w:val="525D3C34"/>
    <w:rsid w:val="5275BF62"/>
    <w:rsid w:val="528EA3C1"/>
    <w:rsid w:val="529B6AFA"/>
    <w:rsid w:val="529B8896"/>
    <w:rsid w:val="52E81592"/>
    <w:rsid w:val="52E8CFC1"/>
    <w:rsid w:val="52F14CE1"/>
    <w:rsid w:val="52F1A4CD"/>
    <w:rsid w:val="5326DA2E"/>
    <w:rsid w:val="534791DC"/>
    <w:rsid w:val="5372D4B6"/>
    <w:rsid w:val="53A4B89D"/>
    <w:rsid w:val="53A5E5C2"/>
    <w:rsid w:val="53C75094"/>
    <w:rsid w:val="53D78D8A"/>
    <w:rsid w:val="53DB970A"/>
    <w:rsid w:val="53F425F4"/>
    <w:rsid w:val="53FD4E60"/>
    <w:rsid w:val="54997949"/>
    <w:rsid w:val="54BA7F5F"/>
    <w:rsid w:val="55485DEB"/>
    <w:rsid w:val="555B7DB0"/>
    <w:rsid w:val="55644207"/>
    <w:rsid w:val="556DE5D9"/>
    <w:rsid w:val="5579FDDD"/>
    <w:rsid w:val="557D3C91"/>
    <w:rsid w:val="55956755"/>
    <w:rsid w:val="55C53DCC"/>
    <w:rsid w:val="565FA0AC"/>
    <w:rsid w:val="56628E1B"/>
    <w:rsid w:val="56747590"/>
    <w:rsid w:val="56887CD7"/>
    <w:rsid w:val="569DDA8A"/>
    <w:rsid w:val="56A27134"/>
    <w:rsid w:val="56A73FA2"/>
    <w:rsid w:val="56A9A0F7"/>
    <w:rsid w:val="56AAA662"/>
    <w:rsid w:val="56BC51B4"/>
    <w:rsid w:val="56CE3B6F"/>
    <w:rsid w:val="56E8B149"/>
    <w:rsid w:val="56FD984C"/>
    <w:rsid w:val="5711A3C0"/>
    <w:rsid w:val="578D812B"/>
    <w:rsid w:val="57A08A79"/>
    <w:rsid w:val="57B57280"/>
    <w:rsid w:val="57CDDBBC"/>
    <w:rsid w:val="57D62755"/>
    <w:rsid w:val="57FCC50F"/>
    <w:rsid w:val="5808ED8A"/>
    <w:rsid w:val="58357C50"/>
    <w:rsid w:val="583B94F9"/>
    <w:rsid w:val="583E4195"/>
    <w:rsid w:val="5841892D"/>
    <w:rsid w:val="584CE100"/>
    <w:rsid w:val="58605418"/>
    <w:rsid w:val="587F4463"/>
    <w:rsid w:val="588933C1"/>
    <w:rsid w:val="58A0B5C1"/>
    <w:rsid w:val="58A18B96"/>
    <w:rsid w:val="58A5FAF3"/>
    <w:rsid w:val="590A1B1B"/>
    <w:rsid w:val="590AAC7E"/>
    <w:rsid w:val="5919E748"/>
    <w:rsid w:val="595835B4"/>
    <w:rsid w:val="59617AD0"/>
    <w:rsid w:val="59880EB7"/>
    <w:rsid w:val="59880EB7"/>
    <w:rsid w:val="599E3BA5"/>
    <w:rsid w:val="59A9BAAC"/>
    <w:rsid w:val="59A9C5AF"/>
    <w:rsid w:val="59B56D62"/>
    <w:rsid w:val="59C0ABED"/>
    <w:rsid w:val="59EB3FD6"/>
    <w:rsid w:val="5A0BB0EE"/>
    <w:rsid w:val="5A3199A7"/>
    <w:rsid w:val="5A4E4C01"/>
    <w:rsid w:val="5A7CB7F7"/>
    <w:rsid w:val="5A9761FD"/>
    <w:rsid w:val="5A9F98FE"/>
    <w:rsid w:val="5ACDE61A"/>
    <w:rsid w:val="5AE03A49"/>
    <w:rsid w:val="5B1B9EE5"/>
    <w:rsid w:val="5B2C6DB3"/>
    <w:rsid w:val="5B3DE1F2"/>
    <w:rsid w:val="5B406B11"/>
    <w:rsid w:val="5B7929EF"/>
    <w:rsid w:val="5B83398D"/>
    <w:rsid w:val="5B8CC9B5"/>
    <w:rsid w:val="5BC5B2EA"/>
    <w:rsid w:val="5BCD6A08"/>
    <w:rsid w:val="5BEC68BF"/>
    <w:rsid w:val="5BFBDBC3"/>
    <w:rsid w:val="5C18ECBC"/>
    <w:rsid w:val="5C1EA737"/>
    <w:rsid w:val="5C2FA728"/>
    <w:rsid w:val="5C33A934"/>
    <w:rsid w:val="5C347F50"/>
    <w:rsid w:val="5C84682C"/>
    <w:rsid w:val="5CA1722D"/>
    <w:rsid w:val="5CA1AB84"/>
    <w:rsid w:val="5CB0A98A"/>
    <w:rsid w:val="5CB6BADB"/>
    <w:rsid w:val="5CD0EA50"/>
    <w:rsid w:val="5CEE76D2"/>
    <w:rsid w:val="5D04819E"/>
    <w:rsid w:val="5D10528F"/>
    <w:rsid w:val="5D11DB97"/>
    <w:rsid w:val="5D18FECB"/>
    <w:rsid w:val="5D18FECB"/>
    <w:rsid w:val="5D2948FA"/>
    <w:rsid w:val="5D68C4DD"/>
    <w:rsid w:val="5D783C53"/>
    <w:rsid w:val="5DD81C97"/>
    <w:rsid w:val="5DE2A01A"/>
    <w:rsid w:val="5E310097"/>
    <w:rsid w:val="5E51E8A8"/>
    <w:rsid w:val="5E5DF8B5"/>
    <w:rsid w:val="5EAB4755"/>
    <w:rsid w:val="5EBB3020"/>
    <w:rsid w:val="5EC30026"/>
    <w:rsid w:val="5EEE09D0"/>
    <w:rsid w:val="5EFE583D"/>
    <w:rsid w:val="5F2B611E"/>
    <w:rsid w:val="5F2E4A18"/>
    <w:rsid w:val="5F54E733"/>
    <w:rsid w:val="5F54E733"/>
    <w:rsid w:val="5FBE3D70"/>
    <w:rsid w:val="5FD9260E"/>
    <w:rsid w:val="5FE8184A"/>
    <w:rsid w:val="60074CCB"/>
    <w:rsid w:val="600A3EFC"/>
    <w:rsid w:val="603F78F0"/>
    <w:rsid w:val="60548549"/>
    <w:rsid w:val="6067AD3A"/>
    <w:rsid w:val="608648D4"/>
    <w:rsid w:val="6089523B"/>
    <w:rsid w:val="60A92F49"/>
    <w:rsid w:val="60ABB238"/>
    <w:rsid w:val="60CF883B"/>
    <w:rsid w:val="60D53854"/>
    <w:rsid w:val="60FB06B6"/>
    <w:rsid w:val="61128ACA"/>
    <w:rsid w:val="611836D5"/>
    <w:rsid w:val="611C14CC"/>
    <w:rsid w:val="61504AF7"/>
    <w:rsid w:val="61845E01"/>
    <w:rsid w:val="61949E1E"/>
    <w:rsid w:val="619BAF37"/>
    <w:rsid w:val="61A93A5F"/>
    <w:rsid w:val="61BE04B4"/>
    <w:rsid w:val="61C673BB"/>
    <w:rsid w:val="61CC6479"/>
    <w:rsid w:val="61E729E2"/>
    <w:rsid w:val="61FF299E"/>
    <w:rsid w:val="623267FF"/>
    <w:rsid w:val="624C367F"/>
    <w:rsid w:val="625FC80F"/>
    <w:rsid w:val="626C39DA"/>
    <w:rsid w:val="6274569B"/>
    <w:rsid w:val="62774186"/>
    <w:rsid w:val="62C0B224"/>
    <w:rsid w:val="62E6E5E0"/>
    <w:rsid w:val="62F55CC0"/>
    <w:rsid w:val="63128ECF"/>
    <w:rsid w:val="63130364"/>
    <w:rsid w:val="63306E7F"/>
    <w:rsid w:val="63377F98"/>
    <w:rsid w:val="634EF251"/>
    <w:rsid w:val="635171C2"/>
    <w:rsid w:val="635874E8"/>
    <w:rsid w:val="637AF9B6"/>
    <w:rsid w:val="637BF133"/>
    <w:rsid w:val="63B00F36"/>
    <w:rsid w:val="63B946F9"/>
    <w:rsid w:val="63CE7883"/>
    <w:rsid w:val="63DB4AE7"/>
    <w:rsid w:val="63F69261"/>
    <w:rsid w:val="63F6E014"/>
    <w:rsid w:val="642CE34E"/>
    <w:rsid w:val="645ED56A"/>
    <w:rsid w:val="6467D2F5"/>
    <w:rsid w:val="6483EAD1"/>
    <w:rsid w:val="65040571"/>
    <w:rsid w:val="6512EA13"/>
    <w:rsid w:val="651B3282"/>
    <w:rsid w:val="652018BB"/>
    <w:rsid w:val="65755E82"/>
    <w:rsid w:val="658BF729"/>
    <w:rsid w:val="659DD2B4"/>
    <w:rsid w:val="65BAE347"/>
    <w:rsid w:val="65BE25FF"/>
    <w:rsid w:val="65C57F55"/>
    <w:rsid w:val="65F22528"/>
    <w:rsid w:val="6603D636"/>
    <w:rsid w:val="664440B7"/>
    <w:rsid w:val="66680F41"/>
    <w:rsid w:val="66A3F750"/>
    <w:rsid w:val="66AAC9F8"/>
    <w:rsid w:val="66B702E3"/>
    <w:rsid w:val="66F09DBA"/>
    <w:rsid w:val="6701D539"/>
    <w:rsid w:val="67236732"/>
    <w:rsid w:val="673CCD74"/>
    <w:rsid w:val="6744FCFD"/>
    <w:rsid w:val="67594453"/>
    <w:rsid w:val="6776E0AB"/>
    <w:rsid w:val="677B5D1F"/>
    <w:rsid w:val="67A76A02"/>
    <w:rsid w:val="67A76A02"/>
    <w:rsid w:val="67F10D23"/>
    <w:rsid w:val="68149925"/>
    <w:rsid w:val="68168159"/>
    <w:rsid w:val="6843EB90"/>
    <w:rsid w:val="6890CF2F"/>
    <w:rsid w:val="68962DA0"/>
    <w:rsid w:val="689CA700"/>
    <w:rsid w:val="68A7EF9C"/>
    <w:rsid w:val="68F28409"/>
    <w:rsid w:val="68F28409"/>
    <w:rsid w:val="68FD2017"/>
    <w:rsid w:val="69315693"/>
    <w:rsid w:val="693BDE4F"/>
    <w:rsid w:val="6941CE9D"/>
    <w:rsid w:val="694D02DA"/>
    <w:rsid w:val="695BA6EA"/>
    <w:rsid w:val="6999C745"/>
    <w:rsid w:val="699E3281"/>
    <w:rsid w:val="69BD5341"/>
    <w:rsid w:val="69CD1A13"/>
    <w:rsid w:val="6A1A35C9"/>
    <w:rsid w:val="6A30918D"/>
    <w:rsid w:val="6A4D1345"/>
    <w:rsid w:val="6A7C7837"/>
    <w:rsid w:val="6A8E942F"/>
    <w:rsid w:val="6A947B88"/>
    <w:rsid w:val="6A98F078"/>
    <w:rsid w:val="6AA27C2D"/>
    <w:rsid w:val="6AB732B4"/>
    <w:rsid w:val="6AD159DB"/>
    <w:rsid w:val="6ADF0AC4"/>
    <w:rsid w:val="6AE48B18"/>
    <w:rsid w:val="6B145E95"/>
    <w:rsid w:val="6B1F1D25"/>
    <w:rsid w:val="6B26CC1D"/>
    <w:rsid w:val="6B357A03"/>
    <w:rsid w:val="6B3F5752"/>
    <w:rsid w:val="6B6FDD29"/>
    <w:rsid w:val="6B79A454"/>
    <w:rsid w:val="6B8305F4"/>
    <w:rsid w:val="6B870318"/>
    <w:rsid w:val="6B870318"/>
    <w:rsid w:val="6B8CD9B8"/>
    <w:rsid w:val="6B9B5B69"/>
    <w:rsid w:val="6BD70B22"/>
    <w:rsid w:val="6BD8868C"/>
    <w:rsid w:val="6BDBDEF3"/>
    <w:rsid w:val="6BEBF614"/>
    <w:rsid w:val="6BFC14B0"/>
    <w:rsid w:val="6C30FC70"/>
    <w:rsid w:val="6C68FE97"/>
    <w:rsid w:val="6C81687D"/>
    <w:rsid w:val="6C8F36C1"/>
    <w:rsid w:val="6CB7B43F"/>
    <w:rsid w:val="6CBAED86"/>
    <w:rsid w:val="6CBCAAE6"/>
    <w:rsid w:val="6CD750C5"/>
    <w:rsid w:val="6CFDADA9"/>
    <w:rsid w:val="6D0D1B8D"/>
    <w:rsid w:val="6D1DEB4A"/>
    <w:rsid w:val="6D457D74"/>
    <w:rsid w:val="6D5D70A1"/>
    <w:rsid w:val="6DC71126"/>
    <w:rsid w:val="6DF13D09"/>
    <w:rsid w:val="6E03B35E"/>
    <w:rsid w:val="6E0C5F74"/>
    <w:rsid w:val="6E0D89FD"/>
    <w:rsid w:val="6E1D3BBD"/>
    <w:rsid w:val="6E4A5C64"/>
    <w:rsid w:val="6E8A17E3"/>
    <w:rsid w:val="6EA2C9A7"/>
    <w:rsid w:val="6EA6B424"/>
    <w:rsid w:val="6EC82578"/>
    <w:rsid w:val="6EC82578"/>
    <w:rsid w:val="6ED0387D"/>
    <w:rsid w:val="6EE674B5"/>
    <w:rsid w:val="6EF5F04E"/>
    <w:rsid w:val="6EFE178E"/>
    <w:rsid w:val="6F031015"/>
    <w:rsid w:val="6F147F8D"/>
    <w:rsid w:val="6F24D05E"/>
    <w:rsid w:val="6F77A352"/>
    <w:rsid w:val="6FA274B3"/>
    <w:rsid w:val="6FB8D627"/>
    <w:rsid w:val="6FF7375E"/>
    <w:rsid w:val="700B5C96"/>
    <w:rsid w:val="7058A01A"/>
    <w:rsid w:val="70ACB561"/>
    <w:rsid w:val="70C0A0BF"/>
    <w:rsid w:val="70CFF963"/>
    <w:rsid w:val="7115C131"/>
    <w:rsid w:val="7115C131"/>
    <w:rsid w:val="712D214B"/>
    <w:rsid w:val="71303750"/>
    <w:rsid w:val="7137956B"/>
    <w:rsid w:val="7137956B"/>
    <w:rsid w:val="714E37C8"/>
    <w:rsid w:val="718F4510"/>
    <w:rsid w:val="71D433CC"/>
    <w:rsid w:val="71D4782E"/>
    <w:rsid w:val="71F45003"/>
    <w:rsid w:val="723866E2"/>
    <w:rsid w:val="72640225"/>
    <w:rsid w:val="7283C0B6"/>
    <w:rsid w:val="72BC1A45"/>
    <w:rsid w:val="72C0D534"/>
    <w:rsid w:val="72CD4B61"/>
    <w:rsid w:val="72DD2E4E"/>
    <w:rsid w:val="73357D71"/>
    <w:rsid w:val="734EEB89"/>
    <w:rsid w:val="7353A5D0"/>
    <w:rsid w:val="735A91AC"/>
    <w:rsid w:val="736CDD0B"/>
    <w:rsid w:val="7372897F"/>
    <w:rsid w:val="73A32722"/>
    <w:rsid w:val="73B8C5E2"/>
    <w:rsid w:val="740ABD59"/>
    <w:rsid w:val="74223571"/>
    <w:rsid w:val="7435D0B9"/>
    <w:rsid w:val="7447CC71"/>
    <w:rsid w:val="7448D44A"/>
    <w:rsid w:val="7450D16B"/>
    <w:rsid w:val="7452D224"/>
    <w:rsid w:val="74691BC2"/>
    <w:rsid w:val="747BF583"/>
    <w:rsid w:val="74954304"/>
    <w:rsid w:val="74BDCC74"/>
    <w:rsid w:val="74C3BC0F"/>
    <w:rsid w:val="74E0310A"/>
    <w:rsid w:val="74F2128E"/>
    <w:rsid w:val="751E738B"/>
    <w:rsid w:val="7529E2BE"/>
    <w:rsid w:val="753F45A5"/>
    <w:rsid w:val="753F7F72"/>
    <w:rsid w:val="755C86B2"/>
    <w:rsid w:val="75815F03"/>
    <w:rsid w:val="75ACA230"/>
    <w:rsid w:val="75CB892A"/>
    <w:rsid w:val="7600EF2C"/>
    <w:rsid w:val="760ED8E8"/>
    <w:rsid w:val="760ED8E8"/>
    <w:rsid w:val="7640D0BF"/>
    <w:rsid w:val="7658CEE7"/>
    <w:rsid w:val="767B5E04"/>
    <w:rsid w:val="768B6792"/>
    <w:rsid w:val="768CB7CE"/>
    <w:rsid w:val="76A7552B"/>
    <w:rsid w:val="76E04D05"/>
    <w:rsid w:val="76F7A08D"/>
    <w:rsid w:val="76FFF7F4"/>
    <w:rsid w:val="772427E7"/>
    <w:rsid w:val="77948032"/>
    <w:rsid w:val="77AA4281"/>
    <w:rsid w:val="77BAC826"/>
    <w:rsid w:val="7801A7F6"/>
    <w:rsid w:val="7814A0A9"/>
    <w:rsid w:val="781885EA"/>
    <w:rsid w:val="7820F19F"/>
    <w:rsid w:val="78369D79"/>
    <w:rsid w:val="784395C6"/>
    <w:rsid w:val="78463101"/>
    <w:rsid w:val="784B0347"/>
    <w:rsid w:val="784FBA0D"/>
    <w:rsid w:val="785AA1E5"/>
    <w:rsid w:val="7887412F"/>
    <w:rsid w:val="7897BD90"/>
    <w:rsid w:val="789EAFC2"/>
    <w:rsid w:val="78CF5638"/>
    <w:rsid w:val="78D30900"/>
    <w:rsid w:val="78F61037"/>
    <w:rsid w:val="793D6CD0"/>
    <w:rsid w:val="79454F40"/>
    <w:rsid w:val="794FBD89"/>
    <w:rsid w:val="795C1AC3"/>
    <w:rsid w:val="795ED6C0"/>
    <w:rsid w:val="7975917B"/>
    <w:rsid w:val="79B2AC9F"/>
    <w:rsid w:val="79CEE6BB"/>
    <w:rsid w:val="79E1F658"/>
    <w:rsid w:val="79E34269"/>
    <w:rsid w:val="7A56B4EC"/>
    <w:rsid w:val="7A598A91"/>
    <w:rsid w:val="7A80A8FE"/>
    <w:rsid w:val="7A9C20A3"/>
    <w:rsid w:val="7AB0A3FB"/>
    <w:rsid w:val="7AB815CE"/>
    <w:rsid w:val="7AC67722"/>
    <w:rsid w:val="7AD71996"/>
    <w:rsid w:val="7AEA92C7"/>
    <w:rsid w:val="7B3F24C2"/>
    <w:rsid w:val="7B77890B"/>
    <w:rsid w:val="7B77890B"/>
    <w:rsid w:val="7B8098C0"/>
    <w:rsid w:val="7B89B900"/>
    <w:rsid w:val="7B9A2C28"/>
    <w:rsid w:val="7BCC519F"/>
    <w:rsid w:val="7BFC76E1"/>
    <w:rsid w:val="7C7FB6FF"/>
    <w:rsid w:val="7CA4D4E3"/>
    <w:rsid w:val="7CC85D07"/>
    <w:rsid w:val="7D0EA860"/>
    <w:rsid w:val="7D108E5F"/>
    <w:rsid w:val="7D336F6D"/>
    <w:rsid w:val="7D35B7C1"/>
    <w:rsid w:val="7D4CD326"/>
    <w:rsid w:val="7D5E36F1"/>
    <w:rsid w:val="7D702449"/>
    <w:rsid w:val="7DA5E467"/>
    <w:rsid w:val="7DB05897"/>
    <w:rsid w:val="7DC039AB"/>
    <w:rsid w:val="7DC785C3"/>
    <w:rsid w:val="7DD50A9F"/>
    <w:rsid w:val="7E10218A"/>
    <w:rsid w:val="7E11F59E"/>
    <w:rsid w:val="7E5CD8D6"/>
    <w:rsid w:val="7E67C9FC"/>
    <w:rsid w:val="7E7999B6"/>
    <w:rsid w:val="7EB53C2C"/>
    <w:rsid w:val="7EC6CBE2"/>
    <w:rsid w:val="7ECA0040"/>
    <w:rsid w:val="7ECBD76E"/>
    <w:rsid w:val="7ED073A8"/>
    <w:rsid w:val="7ED30A56"/>
    <w:rsid w:val="7EF1CD21"/>
    <w:rsid w:val="7EF221A6"/>
    <w:rsid w:val="7EFE71AD"/>
    <w:rsid w:val="7F088E97"/>
    <w:rsid w:val="7F1078C7"/>
    <w:rsid w:val="7F477C47"/>
    <w:rsid w:val="7F6828DD"/>
    <w:rsid w:val="7F7154B6"/>
    <w:rsid w:val="7F7AD643"/>
    <w:rsid w:val="7FAEFDD6"/>
    <w:rsid w:val="7FBC52C9"/>
    <w:rsid w:val="7FFD8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B8896"/>
  <w15:chartTrackingRefBased/>
  <w15:docId w15:val="{A72AF023-7A45-4104-A51D-D8FDBAC76C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comments" Target="/word/comments.xml" Id="Rafbedf210b9f4fba" /><Relationship Type="http://schemas.microsoft.com/office/2011/relationships/people" Target="/word/people.xml" Id="Rf6cc21ceb6bf4f71" /><Relationship Type="http://schemas.microsoft.com/office/2011/relationships/commentsExtended" Target="/word/commentsExtended.xml" Id="R56d7b7efdef94fa7" /><Relationship Type="http://schemas.microsoft.com/office/2016/09/relationships/commentsIds" Target="/word/commentsIds.xml" Id="R25d4a4a602c24230" /><Relationship Type="http://schemas.microsoft.com/office/2018/08/relationships/commentsExtensible" Target="/word/commentsExtensible.xml" Id="R9fa793eab4394264" /><Relationship Type="http://schemas.openxmlformats.org/officeDocument/2006/relationships/hyperlink" Target="http://www.fao.org/global-soil-partnership/pillars-action/4-information-and-data-new/global-soil-organic-carbon-gsoc-map/en/." TargetMode="External" Id="R015268a25edd45cb" /><Relationship Type="http://schemas.openxmlformats.org/officeDocument/2006/relationships/hyperlink" Target="http://globbiomass.org" TargetMode="External" Id="Ra0dc527e03bf4f6e" /><Relationship Type="http://schemas.openxmlformats.org/officeDocument/2006/relationships/image" Target="/media/image.png" Id="Rf1fb795ed6cb48bb" /><Relationship Type="http://schemas.openxmlformats.org/officeDocument/2006/relationships/image" Target="/media/image2.png" Id="Ra927563e348346be" /><Relationship Type="http://schemas.openxmlformats.org/officeDocument/2006/relationships/image" Target="/media/image3.png" Id="R829f8b108a794576" /><Relationship Type="http://schemas.openxmlformats.org/officeDocument/2006/relationships/image" Target="/media/image4.png" Id="Reebf956cc4dc4645" /><Relationship Type="http://schemas.openxmlformats.org/officeDocument/2006/relationships/image" Target="/media/image5.png" Id="R34f5f43caafa4e1e" /><Relationship Type="http://schemas.openxmlformats.org/officeDocument/2006/relationships/image" Target="/media/image6.png" Id="R790aac592fd44078" /><Relationship Type="http://schemas.openxmlformats.org/officeDocument/2006/relationships/hyperlink" Target="http://www.protectedplanet.net" TargetMode="External" Id="R056ff81cec9c403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2021-09-19T15:04:43.7600682Z</dcterms:created>
  <dcterms:modified xsi:type="dcterms:W3CDTF">2021-10-08T19:30:17.6462724Z</dcterms:modified>
  <dc:creator>Bendito, Eduardo Garcia (IITA)</dc:creator>
  <lastModifiedBy>Bendito, Eduardo Garcia (IITA)</lastModifiedBy>
</coreProperties>
</file>