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Processo di Incapsulamento dei Dati nel Modello OSI</w:t>
      </w:r>
    </w:p>
    <w:p>
      <w:r>
        <w:t>Nel modello OSI, il processo di incapsulamento descrive come i dati generati da un'applicazione vengano progressivamente confezionati e arricchiti di informazioni di controllo man mano che attraversano i livelli del sistema di rete, dal livello di trasporto fino al livello fisico. Ogni livello aggiunge un proprio header, che contribuisce all'overhead complessivo del pacchetto trasmesso.</w:t>
      </w:r>
    </w:p>
    <w:p>
      <w:pPr>
        <w:pStyle w:val="Heading2"/>
      </w:pPr>
      <w:r>
        <w:t>1. Incapsulamento dal Trasporto al Fisico</w:t>
      </w:r>
    </w:p>
    <w:p>
      <w:pPr>
        <w:pStyle w:val="Heading3"/>
      </w:pPr>
      <w:r>
        <w:t>Livello 4 – Trasporto (TCP/UDP)</w:t>
      </w:r>
    </w:p>
    <w:p>
      <w:r>
        <w:t>Il livello di trasporto riceve i dati dall'applicazione e li incapsula in segmenti (TCP) o datagrammi (UDP). Questi includono un header con informazioni come porte sorgente e destinazione, numeri di sequenza, acknowledgment, flag di controllo e checksum. TCP garantisce affidabilità, mentre UDP privilegia la velocità con un header più semplice.</w:t>
      </w:r>
    </w:p>
    <w:p>
      <w:pPr>
        <w:pStyle w:val="Heading3"/>
      </w:pPr>
      <w:r>
        <w:t>Livello 3 – Rete (IP)</w:t>
      </w:r>
    </w:p>
    <w:p>
      <w:r>
        <w:t>Il segmento TCP o datagramma UDP viene incapsulato in un pacchetto IP. L'header IP contiene gli indirizzi IP sorgente e destinazione, il protocollo di trasporto utilizzato, il TTL (Time To Live) e altre informazioni necessarie per l'instradamento tra reti diverse.</w:t>
      </w:r>
    </w:p>
    <w:p>
      <w:pPr>
        <w:pStyle w:val="Heading3"/>
      </w:pPr>
      <w:r>
        <w:t>Livello 2 – Data Link (Ethernet)</w:t>
      </w:r>
    </w:p>
    <w:p>
      <w:r>
        <w:t>Il pacchetto IP viene incapsulato in un frame Ethernet. L'header Ethernet include gli indirizzi MAC sorgente e destinazione, oltre al tipo di protocollo incapsulato. Viene aggiunto anche un CRC (Cyclic Redundancy Check) per la verifica dell'integrità.</w:t>
      </w:r>
    </w:p>
    <w:p>
      <w:pPr>
        <w:pStyle w:val="Heading3"/>
      </w:pPr>
      <w:r>
        <w:t>Livello 1 – Fisico</w:t>
      </w:r>
    </w:p>
    <w:p>
      <w:r>
        <w:t>Il frame Ethernet viene convertito in segnali elettrici, ottici o radio e trasmesso sul mezzo fisico (cavo, fibra, aria). Questo livello si occupa della trasmissione fisica dei bit.</w:t>
      </w:r>
    </w:p>
    <w:p>
      <w:pPr>
        <w:pStyle w:val="Heading2"/>
      </w:pPr>
      <w:r>
        <w:t>2. Overhead dei Livelli</w:t>
      </w:r>
    </w:p>
    <w:p>
      <w:r>
        <w:t>Ogni livello del modello OSI aggiunge un proprio header ai dati, aumentando la dimensione totale del pacchetto trasmesso. Questo overhead può influenzare l'efficienza della rete, soprattutto in applicazioni sensibili alla larghezza di banda.</w:t>
      </w:r>
    </w:p>
    <w:p>
      <w:r>
        <w:t>Esempio di overhead per una trasmissione TCP su IPv4 su Ethernet: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Livello</w:t>
            </w:r>
          </w:p>
        </w:tc>
        <w:tc>
          <w:tcPr>
            <w:tcW w:type="dxa" w:w="2160"/>
          </w:tcPr>
          <w:p>
            <w:r>
              <w:t>Protocollo</w:t>
            </w:r>
          </w:p>
        </w:tc>
        <w:tc>
          <w:tcPr>
            <w:tcW w:type="dxa" w:w="2160"/>
          </w:tcPr>
          <w:p>
            <w:r>
              <w:t>Dimensione Header</w:t>
            </w:r>
          </w:p>
        </w:tc>
        <w:tc>
          <w:tcPr>
            <w:tcW w:type="dxa" w:w="2160"/>
          </w:tcPr>
          <w:p>
            <w:r>
              <w:t>Contenuto</w:t>
            </w:r>
          </w:p>
        </w:tc>
      </w:tr>
      <w:tr>
        <w:tc>
          <w:tcPr>
            <w:tcW w:type="dxa" w:w="2160"/>
          </w:tcPr>
          <w:p>
            <w:r>
              <w:t>Trasporto</w:t>
            </w:r>
          </w:p>
        </w:tc>
        <w:tc>
          <w:tcPr>
            <w:tcW w:type="dxa" w:w="2160"/>
          </w:tcPr>
          <w:p>
            <w:r>
              <w:t>TCP</w:t>
            </w:r>
          </w:p>
        </w:tc>
        <w:tc>
          <w:tcPr>
            <w:tcW w:type="dxa" w:w="2160"/>
          </w:tcPr>
          <w:p>
            <w:r>
              <w:t>20–60 byte</w:t>
            </w:r>
          </w:p>
        </w:tc>
        <w:tc>
          <w:tcPr>
            <w:tcW w:type="dxa" w:w="2160"/>
          </w:tcPr>
          <w:p>
            <w:r>
              <w:t>Porte, sequenza, ACK, flag</w:t>
            </w:r>
          </w:p>
        </w:tc>
      </w:tr>
      <w:tr>
        <w:tc>
          <w:tcPr>
            <w:tcW w:type="dxa" w:w="2160"/>
          </w:tcPr>
          <w:p>
            <w:r>
              <w:t>Rete</w:t>
            </w:r>
          </w:p>
        </w:tc>
        <w:tc>
          <w:tcPr>
            <w:tcW w:type="dxa" w:w="2160"/>
          </w:tcPr>
          <w:p>
            <w:r>
              <w:t>IPv4</w:t>
            </w:r>
          </w:p>
        </w:tc>
        <w:tc>
          <w:tcPr>
            <w:tcW w:type="dxa" w:w="2160"/>
          </w:tcPr>
          <w:p>
            <w:r>
              <w:t>20 byte</w:t>
            </w:r>
          </w:p>
        </w:tc>
        <w:tc>
          <w:tcPr>
            <w:tcW w:type="dxa" w:w="2160"/>
          </w:tcPr>
          <w:p>
            <w:r>
              <w:t>IP sorgente/destinazione, TTL</w:t>
            </w:r>
          </w:p>
        </w:tc>
      </w:tr>
      <w:tr>
        <w:tc>
          <w:tcPr>
            <w:tcW w:type="dxa" w:w="2160"/>
          </w:tcPr>
          <w:p>
            <w:r>
              <w:t>Data Link</w:t>
            </w:r>
          </w:p>
        </w:tc>
        <w:tc>
          <w:tcPr>
            <w:tcW w:type="dxa" w:w="2160"/>
          </w:tcPr>
          <w:p>
            <w:r>
              <w:t>Ethernet</w:t>
            </w:r>
          </w:p>
        </w:tc>
        <w:tc>
          <w:tcPr>
            <w:tcW w:type="dxa" w:w="2160"/>
          </w:tcPr>
          <w:p>
            <w:r>
              <w:t>14 byte + 4 byte CRC</w:t>
            </w:r>
          </w:p>
        </w:tc>
        <w:tc>
          <w:tcPr>
            <w:tcW w:type="dxa" w:w="2160"/>
          </w:tcPr>
          <w:p>
            <w:r>
              <w:t>MAC address, tipo protocollo</w:t>
            </w:r>
          </w:p>
        </w:tc>
      </w:tr>
    </w:tbl>
    <w:p>
      <w:pPr>
        <w:pStyle w:val="Heading2"/>
      </w:pPr>
      <w:r>
        <w:t>3. Conclusione</w:t>
      </w:r>
    </w:p>
    <w:p>
      <w:r>
        <w:t>Il processo di incapsulamento garantisce che i dati viaggino in modo strutturato e affidabile (o veloce) tra applicazioni su dispositivi diversi. Tuttavia, ogni livello introduce un overhead che deve essere considerato nella progettazione e ottimizzazione delle reti.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