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Gestione dei Pacchetti Multipli in HTTP e TCP</w:t>
      </w:r>
    </w:p>
    <w:p>
      <w:pPr>
        <w:pStyle w:val="Heading2"/>
      </w:pPr>
      <w:r>
        <w:t>1. Gestione dei pacchetti in HTTP</w:t>
      </w:r>
    </w:p>
    <w:p>
      <w:r>
        <w:t>Nel protocollo HTTP, la gestione dei pacchetti multipli è astratta dal livello applicativo. HTTP è un protocollo message-oriented, e ogni richiesta o risposta è considerata un messaggio completo. Per gestire contenuti di grandi dimensioni, HTTP utilizza meccanismi come:</w:t>
        <w:br/>
        <w:t>- Content-Length: specifica la lunghezza totale del corpo del messaggio.</w:t>
        <w:br/>
        <w:t>- Transfer-Encoding: chunked: consente di inviare dati in blocchi successivi.</w:t>
        <w:br/>
        <w:t>- Boundary: utilizzato nelle richieste multipart (es. upload di file) per delimitare le sezioni del contenuto.</w:t>
        <w:br/>
        <w:t>Questi meccanismi permettono al server di sapere quando una richiesta è completa anche se è stata frammentata su più pacchetti TCP.</w:t>
      </w:r>
    </w:p>
    <w:p>
      <w:pPr>
        <w:pStyle w:val="Heading2"/>
      </w:pPr>
      <w:r>
        <w:t>2. Gestione dei pacchetti in TCP</w:t>
      </w:r>
    </w:p>
    <w:p>
      <w:r>
        <w:t>TCP è un protocollo stream-oriented, non message-oriented. Questo significa che i dati vengono trasmessi come un flusso continuo di byte, senza delimitazioni intrinseche tra messaggi. Quando un messaggio supera la dimensione massima del payload TCP (tipicamente 1460 byte su Ethernet), viene suddiviso in più pacchetti. La funzione recv_callback (es. in lwIP) viene chiamata ogni volta che arriva un pacchetto, e il programmatore deve gestire manualmente l'accumulo dei dati fino a quando il messaggio completo è stato ricevuto. È quindi necessario implementare un meccanismo per sapere quando il messaggio è completo, ad esempio tramite lunghezza nota o delimitatori.</w:t>
      </w:r>
    </w:p>
    <w:p>
      <w:pPr>
        <w:pStyle w:val="Heading2"/>
      </w:pPr>
      <w:r>
        <w:t>3. Strategia proposta per applicazione baremetal</w:t>
      </w:r>
    </w:p>
    <w:p>
      <w:r>
        <w:t>Per semplificare la gestione dei pacchetti TCP in un'applicazione baremetal, è stata proposta una strategia efficace e semplice:</w:t>
        <w:br/>
        <w:t>- Ogni messaggio inizia con un comando (es. GET, POST, HEAD).</w:t>
        <w:br/>
        <w:t>- Il messaggio termina con un delimitatore speciale: la sequenza esadecimale 0xDE 0xAD 0xBE 0xEF.</w:t>
        <w:br/>
        <w:t>- Il server riceve i pacchetti e li accumula in un buffer.</w:t>
        <w:br/>
        <w:t>- Quando viene rilevata la sequenza di delimitazione, il messaggio è considerato completo e può essere processato.</w:t>
        <w:br/>
        <w:t>- Il contesto di ricezione viene quindi azzerato per prepararsi al prossimo messaggio.</w:t>
      </w:r>
    </w:p>
    <w:p>
      <w:r>
        <w:t>Esempio:</w:t>
        <w:br/>
        <w:t>- Pacchetto piccolo: contiene comando e delimitatore nello stesso payload → il messaggio è completo subito.</w:t>
        <w:br/>
        <w:t>- Pacchetto grande: il comando è frammentato su più pacchetti → il server accumula i dati finché non trova il delimitatore.</w:t>
        <w:br/>
        <w:t>- Dopo il delimitatore, il buffer viene azzerato e il prossimo pacchetto viene trattato come l'inizio di una nuova richiesta.</w:t>
      </w:r>
    </w:p>
    <w:p>
      <w:r>
        <w:t>Vantaggi:</w:t>
        <w:br/>
        <w:t>- Protocollo semplice e robusto.</w:t>
        <w:br/>
        <w:t>- Nessuna necessità di gestire Content-Length o frammentazione complessa.</w:t>
        <w:br/>
        <w:t>- Adatto a sistemi embedded e baremetal con risorse limitate.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