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GIACOMO BATTAGLIA</w:t>
      </w:r>
    </w:p>
    <w:p>
      <w:pPr>
        <w:jc w:val="center"/>
      </w:pPr>
      <w:r>
        <w:rPr>
          <w:b/>
          <w:sz w:val="22"/>
        </w:rPr>
        <w:t>Group CFO  |  C-Level &amp; Board Member  |  M&amp;A &amp; Value Creation  |  FP&amp;A Director</w:t>
      </w:r>
    </w:p>
    <w:p>
      <w:pPr>
        <w:jc w:val="center"/>
      </w:pPr>
      <w:r>
        <w:rPr>
          <w:b w:val="0"/>
          <w:color w:val="555555"/>
          <w:sz w:val="19"/>
        </w:rPr>
        <w:t>Target role: Group / Division CFO — industrial manufacturing within a PE / industrial-group structure</w:t>
      </w:r>
    </w:p>
    <w:p>
      <w:pPr>
        <w:jc w:val="center"/>
      </w:pPr>
      <w:r>
        <w:rPr>
          <w:b w:val="0"/>
          <w:color w:val="555555"/>
          <w:sz w:val="19"/>
        </w:rPr>
        <w:t>Milan, Italy  ·  Italian (native), English (fluent)  ·  MSc Economics &amp; Corporate Management</w:t>
      </w:r>
    </w:p>
    <w:p>
      <w:pPr>
        <w:jc w:val="center"/>
      </w:pPr>
      <w:r>
        <w:rPr>
          <w:b w:val="0"/>
          <w:color w:val="555555"/>
          <w:sz w:val="19"/>
        </w:rPr>
        <w:t>giacomo.battaglia80@gmail.com  ·  +39 349 7908205  ·  linkedin.com/in/giacomobattaglia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3"/>
        </w:rPr>
        <w:t>EXECUTIVE SUMMARY</w:t>
      </w:r>
    </w:p>
    <w:p>
      <w:r>
        <w:rPr>
          <w:b w:val="0"/>
          <w:sz w:val="21"/>
        </w:rPr>
        <w:t>Group CFO with 15+ years in multinational and private-equity-backed industrial environments (Manufacturing, Chemistry, FMCG), with full P&amp;L, cash-flow and balance-sheet ownership of businesses up to €400m turnover. Recognised value-creation partner to PE funds, shareholders and foreign parent companies, operating fluently in matrix and centralised-governance settings (dotted-line reporting to UK / Swiss group CFOs). Deep expertise in industrial controlling and margin recovery, working-capital and cash optimisation, transfer pricing and intercompany governance, M&amp;A and carve-outs, and SAP S/4HANA finance transformation.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3"/>
        </w:rPr>
        <w:t>CORE STRENGTHS MOST RELEVANT TO THE ROLE</w:t>
      </w:r>
    </w:p>
    <w:p>
      <w:pPr>
        <w:pStyle w:val="ListBullet"/>
        <w:ind w:left="288" w:hanging="173"/>
      </w:pPr>
      <w:r>
        <w:rPr>
          <w:b/>
          <w:sz w:val="20"/>
        </w:rPr>
        <w:t xml:space="preserve">Industrial controlling &amp; margin recovery — </w:t>
      </w:r>
      <w:r>
        <w:rPr>
          <w:b w:val="0"/>
          <w:sz w:val="20"/>
        </w:rPr>
        <w:t>standard costing, variance analysis (Price/Mix/PPV), OEE, scrap, give-away &amp; mass balance, pricing-waterfall governance.</w:t>
      </w:r>
    </w:p>
    <w:p>
      <w:pPr>
        <w:pStyle w:val="ListBullet"/>
        <w:ind w:left="288" w:hanging="173"/>
      </w:pPr>
      <w:r>
        <w:rPr>
          <w:b/>
          <w:sz w:val="20"/>
        </w:rPr>
        <w:t xml:space="preserve">Working capital &amp; cash optimisation — </w:t>
      </w:r>
      <w:r>
        <w:rPr>
          <w:b w:val="0"/>
          <w:sz w:val="20"/>
        </w:rPr>
        <w:t>non-recourse factoring (DSO), reverse factoring (DPO), VMI/VMR (DIO), sale-and-leaseback, cross-border cash pooling.</w:t>
      </w:r>
    </w:p>
    <w:p>
      <w:pPr>
        <w:pStyle w:val="ListBullet"/>
        <w:ind w:left="288" w:hanging="173"/>
      </w:pPr>
      <w:r>
        <w:rPr>
          <w:b/>
          <w:sz w:val="20"/>
        </w:rPr>
        <w:t xml:space="preserve">Transfer pricing, tax &amp; intercompany governance — </w:t>
      </w:r>
      <w:r>
        <w:rPr>
          <w:b w:val="0"/>
          <w:sz w:val="20"/>
        </w:rPr>
        <w:t>renegotiated a €30M tax assessment down to a €5M settlement; intercompany pricing &amp; financing across multiple entities.</w:t>
      </w:r>
    </w:p>
    <w:p>
      <w:pPr>
        <w:pStyle w:val="ListBullet"/>
        <w:ind w:left="288" w:hanging="173"/>
      </w:pPr>
      <w:r>
        <w:rPr>
          <w:b/>
          <w:sz w:val="20"/>
        </w:rPr>
        <w:t xml:space="preserve">M&amp;A, carve-outs &amp; PE value creation — </w:t>
      </w:r>
      <w:r>
        <w:rPr>
          <w:b w:val="0"/>
          <w:sz w:val="20"/>
        </w:rPr>
        <w:t>&gt;€100m cumulative deals (equity &amp; asset), post-merger integration, due diligence; active participant in a PE exit (CapVest → Bain Capital).</w:t>
      </w:r>
    </w:p>
    <w:p>
      <w:pPr>
        <w:pStyle w:val="ListBullet"/>
        <w:ind w:left="288" w:hanging="173"/>
      </w:pPr>
      <w:r>
        <w:rPr>
          <w:b/>
          <w:sz w:val="20"/>
        </w:rPr>
        <w:t xml:space="preserve">Finance transformation &amp; reporting — </w:t>
      </w:r>
      <w:r>
        <w:rPr>
          <w:b w:val="0"/>
          <w:sz w:val="20"/>
        </w:rPr>
        <w:t>SAP ECC → S/4HANA, Power BI / OneStream frameworks; dual statutory reporting (OIC + IAS/IFRS); former KPMG auditor.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3"/>
        </w:rPr>
        <w:t>SELECTED ACHIEVEMENTS &amp; PROJECTS</w:t>
      </w:r>
    </w:p>
    <w:p>
      <w:r>
        <w:rPr>
          <w:b/>
          <w:color w:val="1F3A5F"/>
          <w:sz w:val="21"/>
        </w:rPr>
        <w:t>Transfer Pricing &amp; Tax</w:t>
      </w:r>
    </w:p>
    <w:p>
      <w:pPr>
        <w:pStyle w:val="ListBullet"/>
        <w:ind w:left="288" w:hanging="173"/>
      </w:pPr>
      <w:r>
        <w:rPr>
          <w:b w:val="0"/>
          <w:sz w:val="20"/>
        </w:rPr>
        <w:t xml:space="preserve">Negotiated a win-win settlement with the Italian Tax Authority, reducing a </w:t>
      </w:r>
      <w:r>
        <w:rPr>
          <w:b/>
          <w:sz w:val="20"/>
        </w:rPr>
        <w:t>€30M assessment to a €5M settlement</w:t>
      </w:r>
      <w:r>
        <w:rPr>
          <w:b w:val="0"/>
          <w:sz w:val="20"/>
        </w:rPr>
        <w:t>, by challenging the group's management-fee recharge methodology and the deductibility of interest on the acquisition master financing (CapVest fund / Balconi). Partner: PwC.</w:t>
      </w:r>
    </w:p>
    <w:p>
      <w:r>
        <w:rPr>
          <w:b/>
          <w:color w:val="1F3A5F"/>
          <w:sz w:val="21"/>
        </w:rPr>
        <w:t>Cash Flow &amp; Working Capital Optimisation</w:t>
      </w:r>
    </w:p>
    <w:p>
      <w:pPr>
        <w:pStyle w:val="ListBullet"/>
        <w:ind w:left="288" w:hanging="173"/>
      </w:pPr>
      <w:r>
        <w:rPr>
          <w:b w:val="0"/>
          <w:sz w:val="20"/>
        </w:rPr>
        <w:t>Non-recourse factoring to improve DSO (Factor France, Unicredit Factoring, FinDynamic, BPER).</w:t>
      </w:r>
    </w:p>
    <w:p>
      <w:pPr>
        <w:pStyle w:val="ListBullet"/>
        <w:ind w:left="288" w:hanging="173"/>
      </w:pPr>
      <w:r>
        <w:rPr>
          <w:b w:val="0"/>
          <w:sz w:val="20"/>
        </w:rPr>
        <w:t>Reverse factoring to extend DPO (Crédit Agricole Factoring, Banco BPM); VMI/VMR to optimise DIO.</w:t>
      </w:r>
    </w:p>
    <w:p>
      <w:pPr>
        <w:pStyle w:val="ListBullet"/>
        <w:ind w:left="288" w:hanging="173"/>
      </w:pPr>
      <w:r>
        <w:rPr>
          <w:b w:val="0"/>
          <w:sz w:val="20"/>
        </w:rPr>
        <w:t>Sale-and-leaseback on owned buildings to strengthen liquidity and fund capacity expansion (Ascension UK); multi-bank cash pooling (Citibank, Barclays).</w:t>
      </w:r>
    </w:p>
    <w:p>
      <w:r>
        <w:rPr>
          <w:b/>
          <w:color w:val="1F3A5F"/>
          <w:sz w:val="21"/>
        </w:rPr>
        <w:t>M&amp;A, Integration &amp; Carve-outs (&gt;€100m cumulative)</w:t>
      </w:r>
    </w:p>
    <w:p>
      <w:pPr>
        <w:pStyle w:val="ListBullet"/>
        <w:ind w:left="288" w:hanging="173"/>
      </w:pPr>
      <w:r>
        <w:rPr>
          <w:b w:val="0"/>
          <w:sz w:val="20"/>
        </w:rPr>
        <w:t xml:space="preserve">Equity acquisition &amp; merger of </w:t>
      </w:r>
      <w:r>
        <w:rPr>
          <w:b/>
          <w:sz w:val="20"/>
        </w:rPr>
        <w:t>Idp Srl</w:t>
      </w:r>
      <w:r>
        <w:rPr>
          <w:b w:val="0"/>
          <w:sz w:val="20"/>
        </w:rPr>
        <w:t xml:space="preserve"> — debt restructuring and bank guarantee pledging shares &amp; the Balconi brand (Vitale, NDA, LCA, Pirola, Crédit Agricole / Dentons / Baker McKenzie).</w:t>
      </w:r>
    </w:p>
    <w:p>
      <w:pPr>
        <w:pStyle w:val="ListBullet"/>
        <w:ind w:left="288" w:hanging="173"/>
      </w:pPr>
      <w:r>
        <w:rPr>
          <w:b w:val="0"/>
          <w:sz w:val="20"/>
        </w:rPr>
        <w:t xml:space="preserve">Equity acquisition of </w:t>
      </w:r>
      <w:r>
        <w:rPr>
          <w:b/>
          <w:sz w:val="20"/>
        </w:rPr>
        <w:t>Freddi S.p.A.</w:t>
      </w:r>
      <w:r>
        <w:rPr>
          <w:b w:val="0"/>
          <w:sz w:val="20"/>
        </w:rPr>
        <w:t xml:space="preserve">; merger of </w:t>
      </w:r>
      <w:r>
        <w:rPr>
          <w:b/>
          <w:sz w:val="20"/>
        </w:rPr>
        <w:t>Dolciaria Valdenza</w:t>
      </w:r>
      <w:r>
        <w:rPr>
          <w:b w:val="0"/>
          <w:sz w:val="20"/>
        </w:rPr>
        <w:t xml:space="preserve"> (incl. ERP integration).</w:t>
      </w:r>
    </w:p>
    <w:p>
      <w:pPr>
        <w:pStyle w:val="ListBullet"/>
        <w:ind w:left="288" w:hanging="173"/>
      </w:pPr>
      <w:r>
        <w:rPr>
          <w:b w:val="0"/>
          <w:sz w:val="20"/>
        </w:rPr>
        <w:t xml:space="preserve">Asset deals (court auctions): </w:t>
      </w:r>
      <w:r>
        <w:rPr>
          <w:b/>
          <w:sz w:val="20"/>
        </w:rPr>
        <w:t>Dal Colle</w:t>
      </w:r>
      <w:r>
        <w:rPr>
          <w:b w:val="0"/>
          <w:sz w:val="20"/>
        </w:rPr>
        <w:t xml:space="preserve"> (Verona), </w:t>
      </w:r>
      <w:r>
        <w:rPr>
          <w:b/>
          <w:sz w:val="20"/>
        </w:rPr>
        <w:t>Melegatti</w:t>
      </w:r>
      <w:r>
        <w:rPr>
          <w:b w:val="0"/>
          <w:sz w:val="20"/>
        </w:rPr>
        <w:t xml:space="preserve"> (incl. asset appraisal), </w:t>
      </w:r>
      <w:r>
        <w:rPr>
          <w:b/>
          <w:sz w:val="20"/>
        </w:rPr>
        <w:t>Berkel by Rovagnati</w:t>
      </w:r>
      <w:r>
        <w:rPr>
          <w:b w:val="0"/>
          <w:sz w:val="20"/>
        </w:rPr>
        <w:t xml:space="preserve"> (Milan).</w:t>
      </w:r>
    </w:p>
    <w:p>
      <w:pPr>
        <w:pStyle w:val="ListBullet"/>
        <w:ind w:left="288" w:hanging="173"/>
      </w:pPr>
      <w:r>
        <w:rPr>
          <w:b w:val="0"/>
          <w:sz w:val="20"/>
        </w:rPr>
        <w:t>Set-up of two French subsidiaries (a holding to support future M&amp;A and a commercial entity for direct key-account management); coordination of greenfield international subsidiaries.</w:t>
      </w:r>
    </w:p>
    <w:p>
      <w:r>
        <w:rPr>
          <w:b/>
          <w:color w:val="1F3A5F"/>
          <w:sz w:val="21"/>
        </w:rPr>
        <w:t>Capex &amp; Investment Appraisal</w:t>
      </w:r>
    </w:p>
    <w:p>
      <w:pPr>
        <w:pStyle w:val="ListBullet"/>
        <w:ind w:left="288" w:hanging="173"/>
      </w:pPr>
      <w:r>
        <w:rPr>
          <w:b/>
          <w:sz w:val="20"/>
        </w:rPr>
        <w:t>€80m</w:t>
      </w:r>
      <w:r>
        <w:rPr>
          <w:b w:val="0"/>
          <w:sz w:val="20"/>
        </w:rPr>
        <w:t xml:space="preserve"> of capacity investment appraised and financed over three years (two new wafer lines, one sponge-cake line) via business case, NPV, IRR, payback and scenario analysis.</w:t>
      </w:r>
    </w:p>
    <w:p>
      <w:r>
        <w:rPr>
          <w:b/>
          <w:color w:val="1F3A5F"/>
          <w:sz w:val="21"/>
        </w:rPr>
        <w:t>Pricing, Planning &amp; Board Support</w:t>
      </w:r>
    </w:p>
    <w:p>
      <w:pPr>
        <w:pStyle w:val="ListBullet"/>
        <w:ind w:left="288" w:hanging="173"/>
      </w:pPr>
      <w:r>
        <w:rPr>
          <w:b w:val="0"/>
          <w:sz w:val="20"/>
        </w:rPr>
        <w:t>Reshaped the global pricing waterfall to support commercial excellence (Adama global pricing / Wiglaf); EU lead for the 5-year strategic &amp; financial plan in Power BI.</w:t>
      </w:r>
    </w:p>
    <w:p>
      <w:pPr>
        <w:pStyle w:val="ListBullet"/>
        <w:ind w:left="288" w:hanging="173"/>
      </w:pPr>
      <w:r>
        <w:rPr>
          <w:b w:val="0"/>
          <w:sz w:val="20"/>
        </w:rPr>
        <w:t>Monthly Board review of financial/economic KPIs across operations, logistics and procurement; variance analysis on Price/Mix/PPV/synergies/productivity.</w:t>
      </w:r>
    </w:p>
    <w:p>
      <w:r>
        <w:rPr>
          <w:b/>
          <w:color w:val="1F3A5F"/>
          <w:sz w:val="21"/>
        </w:rPr>
        <w:t>ERP &amp; Digital Finance Transformation</w:t>
      </w:r>
    </w:p>
    <w:p>
      <w:pPr>
        <w:pStyle w:val="ListBullet"/>
        <w:ind w:left="288" w:hanging="173"/>
      </w:pPr>
      <w:r>
        <w:rPr>
          <w:b w:val="0"/>
          <w:sz w:val="20"/>
        </w:rPr>
        <w:t>Sponsor of SAP ECC → S/4HANA migration (completed Dec 2025, live Jan 2026; partner Altea Up) and Power BI reporting framework; hands-on with QlikView, OneStream, GFS, Power Automate, O365; building AI agents (Claude Code / Copilot) to automate recurring analysis.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3"/>
        </w:rPr>
        <w:t>PROFESSIONAL EXPERIENCE</w:t>
      </w:r>
    </w:p>
    <w:p>
      <w:r>
        <w:rPr>
          <w:b/>
          <w:color w:val="1F3A5F"/>
          <w:sz w:val="21"/>
        </w:rPr>
        <w:t>Group Chief Financial Officer &amp; Board Member  —  Valeo South &amp; West Europe (Food / FMCG · Bain Capital portfolio)</w:t>
      </w:r>
      <w:r>
        <w:rPr>
          <w:i/>
          <w:color w:val="555555"/>
          <w:sz w:val="19"/>
        </w:rPr>
        <w:t xml:space="preserve">    2020 – Present</w:t>
      </w:r>
    </w:p>
    <w:p>
      <w:r>
        <w:rPr>
          <w:b w:val="0"/>
          <w:color w:val="555555"/>
          <w:sz w:val="19"/>
        </w:rPr>
        <w:t>CFO of 4 Italian entities (Valeo Bidco Italia / Balconi / Idp / Freddi) · €350m turnover (50% export) · 8 sites · dotted line to UK Group CFO · finance team of 25 FTE</w:t>
      </w:r>
    </w:p>
    <w:p>
      <w:pPr>
        <w:pStyle w:val="ListBullet"/>
        <w:ind w:left="288" w:hanging="173"/>
      </w:pPr>
      <w:r>
        <w:rPr>
          <w:b w:val="0"/>
          <w:sz w:val="20"/>
        </w:rPr>
        <w:t>Full P&amp;L, cash-flow and balance-sheet accountability; Deputy CEO on commercial strategy &amp; organisation; leadership of Finance, Commercial/Industrial Controlling, Treasury, Tax &amp; Transfer Price, IT and Internal Audit.</w:t>
      </w:r>
    </w:p>
    <w:p>
      <w:pPr>
        <w:pStyle w:val="ListBullet"/>
        <w:ind w:left="288" w:hanging="173"/>
      </w:pPr>
      <w:r>
        <w:rPr>
          <w:b w:val="0"/>
          <w:sz w:val="20"/>
        </w:rPr>
        <w:t>Lead role in multiple M&amp;A transactions (&gt;€100m cumulative PPA); active participant in the PE exit from CapVest to Bain Capital.</w:t>
      </w:r>
    </w:p>
    <w:p>
      <w:pPr>
        <w:pStyle w:val="ListBullet"/>
        <w:ind w:left="288" w:hanging="173"/>
      </w:pPr>
      <w:r>
        <w:rPr>
          <w:b w:val="0"/>
          <w:sz w:val="20"/>
        </w:rPr>
        <w:t>Cash freed through working-capital and treasury optimisation; €80m capex appraised and financed across three years.</w:t>
      </w:r>
    </w:p>
    <w:p>
      <w:pPr>
        <w:pStyle w:val="ListBullet"/>
        <w:ind w:left="288" w:hanging="173"/>
      </w:pPr>
      <w:r>
        <w:rPr>
          <w:b w:val="0"/>
          <w:sz w:val="20"/>
        </w:rPr>
        <w:t>Sponsor of SAP ECC → S/4HANA migration; dual statutory reporting (OIC) and IAS/IFRS.</w:t>
      </w:r>
    </w:p>
    <w:p>
      <w:r>
        <w:rPr>
          <w:b/>
          <w:color w:val="1F3A5F"/>
          <w:sz w:val="21"/>
        </w:rPr>
        <w:t>Chief Financial Officer Italy  —  Adama Italia (Chemistry / Crop Protection · Syngenta Group – ChemChina)</w:t>
      </w:r>
      <w:r>
        <w:rPr>
          <w:i/>
          <w:color w:val="555555"/>
          <w:sz w:val="19"/>
        </w:rPr>
        <w:t xml:space="preserve">    2017 – 2020</w:t>
      </w:r>
    </w:p>
    <w:p>
      <w:r>
        <w:rPr>
          <w:b w:val="0"/>
          <w:color w:val="555555"/>
          <w:sz w:val="19"/>
        </w:rPr>
        <w:t>€100m local · $4bn global · dotted line to EMEA Group CFO (Switzerland) · Finance/HR team of 8 FTE</w:t>
      </w:r>
    </w:p>
    <w:p>
      <w:pPr>
        <w:pStyle w:val="ListBullet"/>
        <w:ind w:left="288" w:hanging="173"/>
      </w:pPr>
      <w:r>
        <w:rPr>
          <w:b w:val="0"/>
          <w:sz w:val="20"/>
        </w:rPr>
        <w:t>Owner of pricing architecture and margin governance; five-year strategic planning &amp; Power BI reporting framework.</w:t>
      </w:r>
    </w:p>
    <w:p>
      <w:pPr>
        <w:pStyle w:val="ListBullet"/>
        <w:ind w:left="288" w:hanging="173"/>
      </w:pPr>
      <w:r>
        <w:rPr>
          <w:b w:val="0"/>
          <w:sz w:val="20"/>
        </w:rPr>
        <w:t>SOX, compliance, corporate governance &amp; GDPR lead; leadership of Finance, Commercial, Treasury, Tax &amp; Transfer Price, IT/HR; dual OIC and IAS/IFRS reporting.</w:t>
      </w:r>
    </w:p>
    <w:p>
      <w:r>
        <w:rPr>
          <w:b/>
          <w:color w:val="1F3A5F"/>
          <w:sz w:val="21"/>
        </w:rPr>
        <w:t>Finance Manager  —  Berkel S.r.l. (Industrial appliances · Rovagnati Group)</w:t>
      </w:r>
      <w:r>
        <w:rPr>
          <w:i/>
          <w:color w:val="555555"/>
          <w:sz w:val="19"/>
        </w:rPr>
        <w:t xml:space="preserve">    2015 – 2017</w:t>
      </w:r>
    </w:p>
    <w:p>
      <w:r>
        <w:rPr>
          <w:b w:val="0"/>
          <w:color w:val="555555"/>
          <w:sz w:val="19"/>
        </w:rPr>
        <w:t>€30m · sites in Italy + India (greenfield), US, Germany · reporting to Board and Group CFO</w:t>
      </w:r>
    </w:p>
    <w:p>
      <w:pPr>
        <w:pStyle w:val="ListBullet"/>
        <w:ind w:left="288" w:hanging="173"/>
      </w:pPr>
      <w:r>
        <w:rPr>
          <w:b w:val="0"/>
          <w:sz w:val="20"/>
        </w:rPr>
        <w:t>Full P&amp;L, cash flow, budgeting and forecasting; industrial controlling and margin governance (standard costing, variance analysis, transfer pricing); coordination of international subsidiaries.</w:t>
      </w:r>
    </w:p>
    <w:p>
      <w:r>
        <w:rPr>
          <w:b/>
          <w:color w:val="1F3A5F"/>
          <w:sz w:val="21"/>
        </w:rPr>
        <w:t xml:space="preserve">Earlier roles (controlling, FP&amp;A &amp; audit)  —  </w:t>
      </w:r>
      <w:r>
        <w:rPr>
          <w:i/>
          <w:color w:val="555555"/>
          <w:sz w:val="19"/>
        </w:rPr>
        <w:t xml:space="preserve">    2005 – 2015</w:t>
      </w:r>
    </w:p>
    <w:p>
      <w:r>
        <w:rPr>
          <w:b w:val="0"/>
          <w:color w:val="555555"/>
          <w:sz w:val="19"/>
        </w:rPr>
        <w:t>Head of FP&amp;A — Thule Italia (Automotive, 2014–15) · FP&amp;A Senior — Vodafone Italia (Telco, 2011–14) · FP&amp;A Senior — Beta (tools manufacturing, 2008–11) · Internal Audit — Saipem (Oil &amp; Gas, 2007–08) · Audit — KPMG (2005–07)</w:t>
      </w:r>
    </w:p>
    <w:p>
      <w:pPr>
        <w:pBdr>
          <w:bottom w:val="single" w:sz="6" w:space="1" w:color="1F3A5F"/>
        </w:pBdr>
      </w:pPr>
      <w:r>
        <w:rPr>
          <w:b/>
          <w:color w:val="1F3A5F"/>
          <w:sz w:val="23"/>
        </w:rPr>
        <w:t>SKILLS, TOOLS &amp; EDUCATION</w:t>
      </w:r>
    </w:p>
    <w:p>
      <w:pPr>
        <w:pStyle w:val="ListBullet"/>
        <w:ind w:left="288" w:hanging="173"/>
      </w:pPr>
      <w:r>
        <w:rPr>
          <w:b/>
          <w:sz w:val="20"/>
        </w:rPr>
        <w:t xml:space="preserve">Finance &amp; control: </w:t>
      </w:r>
      <w:r>
        <w:rPr>
          <w:b w:val="0"/>
          <w:sz w:val="20"/>
        </w:rPr>
        <w:t>M&amp;A / PMI / due diligence, value creation, working capital &amp; treasury, transfer pricing &amp; tax, industrial &amp; commercial controlling, FP&amp;A, 5-year planning, Board reporting.</w:t>
      </w:r>
    </w:p>
    <w:p>
      <w:pPr>
        <w:pStyle w:val="ListBullet"/>
        <w:ind w:left="288" w:hanging="173"/>
      </w:pPr>
      <w:r>
        <w:rPr>
          <w:b/>
          <w:sz w:val="20"/>
        </w:rPr>
        <w:t xml:space="preserve">Systems: </w:t>
      </w:r>
      <w:r>
        <w:rPr>
          <w:b w:val="0"/>
          <w:sz w:val="20"/>
        </w:rPr>
        <w:t>SAP S/4HANA &amp; ECC, OneStream, Power BI, QlikView, GFS, Power Automate, Microsoft 365; AI agents (Claude Code / Copilot).</w:t>
      </w:r>
    </w:p>
    <w:p>
      <w:pPr>
        <w:pStyle w:val="ListBullet"/>
        <w:ind w:left="288" w:hanging="173"/>
      </w:pPr>
      <w:r>
        <w:rPr>
          <w:b/>
          <w:sz w:val="20"/>
        </w:rPr>
        <w:t xml:space="preserve">Education &amp; languages: </w:t>
      </w:r>
      <w:r>
        <w:rPr>
          <w:b w:val="0"/>
          <w:sz w:val="20"/>
        </w:rPr>
        <w:t>MSc in Economics &amp; Corporate Management · Italian (native), English (fluent).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