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4"/>
        </w:rPr>
        <w:t>Project / Contract Accounting — Study Guide</w:t>
      </w:r>
    </w:p>
    <w:p>
      <w:pPr>
        <w:jc w:val="center"/>
      </w:pPr>
      <w:r>
        <w:rPr>
          <w:b w:val="0"/>
          <w:color w:val="555555"/>
          <w:sz w:val="21"/>
        </w:rPr>
        <w:t>WIP · percentage-of-completion · IFRS 15 &amp; OIC 23 — tailored to HENNECKE-OMS (interview prep)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0. Perché conta (e come spiega il loro bilancio)</w:t>
      </w:r>
    </w:p>
    <w:p>
      <w:r>
        <w:rPr>
          <w:b w:val="0"/>
          <w:sz w:val="21"/>
        </w:rPr>
        <w:t xml:space="preserve">Hennecke-OMS è un business </w:t>
      </w:r>
      <w:r>
        <w:rPr>
          <w:b/>
          <w:sz w:val="21"/>
        </w:rPr>
        <w:t>engineer-to-order / a commessa lunga</w:t>
      </w:r>
      <w:r>
        <w:rPr>
          <w:b w:val="0"/>
          <w:sz w:val="21"/>
        </w:rPr>
        <w:t xml:space="preserve">: progetta e costruisce impianti su misura in 12–24 mesi. La contabilità di commessa è il motivo per cui, nel dossier, </w:t>
      </w:r>
      <w:r>
        <w:rPr>
          <w:b/>
          <w:sz w:val="21"/>
        </w:rPr>
        <w:t>ricavi e “valore della produzione” divergono</w:t>
      </w:r>
      <w:r>
        <w:rPr>
          <w:b w:val="0"/>
          <w:sz w:val="21"/>
        </w:rPr>
        <w:t xml:space="preserve"> e per cui la marginalità oscilla. Saperlo spiegare è il tuo biglietto da visita tecnico.</w:t>
      </w:r>
    </w:p>
    <w:p>
      <w:r>
        <w:rPr>
          <w:b/>
          <w:sz w:val="21"/>
        </w:rPr>
        <w:t xml:space="preserve">Numeri loro da saper leggere a memoria: </w:t>
      </w:r>
      <w:r>
        <w:rPr>
          <w:b w:val="0"/>
          <w:sz w:val="21"/>
        </w:rPr>
        <w:t xml:space="preserve">la variazione lavori in corso (WIP) è passata da </w:t>
      </w:r>
      <w:r>
        <w:rPr>
          <w:b/>
          <w:sz w:val="21"/>
        </w:rPr>
        <w:t>+€19,3M (2023) a -€0,5M (2024)</w:t>
      </w:r>
      <w:r>
        <w:rPr>
          <w:b w:val="0"/>
          <w:sz w:val="21"/>
        </w:rPr>
        <w:t xml:space="preserve">; per questo il valore della produzione è sceso -22% mentre i ricavi solo -12%. Gli </w:t>
      </w:r>
      <w:r>
        <w:rPr>
          <w:b/>
          <w:sz w:val="21"/>
        </w:rPr>
        <w:t>acconti da clienti erano €10,9M</w:t>
      </w:r>
      <w:r>
        <w:rPr>
          <w:b w:val="0"/>
          <w:sz w:val="21"/>
        </w:rPr>
        <w:t xml:space="preserve"> e i lavori in corso a magazzino €3,4M (2024).</w:t>
      </w:r>
    </w:p>
    <w:p>
      <w:r>
        <w:rPr>
          <w:b/>
          <w:sz w:val="21"/>
        </w:rPr>
        <w:t xml:space="preserve">Messaggio da colloquio: </w:t>
      </w:r>
      <w:r>
        <w:rPr>
          <w:b w:val="0"/>
          <w:color w:val="C8102E"/>
          <w:sz w:val="21"/>
        </w:rPr>
        <w:t>“Il crollo 2024 dell'EBITDA è in larga parte un effetto di timing della commessa (smaltimento del WIP accumulato nel 2023), non un deterioramento strutturale. Per questo la valutazione va fatta su un EBITDA normalizzato e su backlog/margine-a-finire, non sul dato puntuale.”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1. I due mondi che gestirai: OIC 23 (statutory) e IFRS 15 (gruppo)</w:t>
      </w:r>
    </w:p>
    <w:p>
      <w:r>
        <w:rPr>
          <w:b w:val="0"/>
          <w:sz w:val="21"/>
        </w:rPr>
        <w:t xml:space="preserve">Hennecke-OMS tiene </w:t>
      </w:r>
      <w:r>
        <w:rPr>
          <w:b/>
          <w:sz w:val="21"/>
        </w:rPr>
        <w:t>doppia contabilità</w:t>
      </w:r>
      <w:r>
        <w:rPr>
          <w:b w:val="0"/>
          <w:sz w:val="21"/>
        </w:rPr>
        <w:t>: bilancio civilistico italiano (OIC) e reporting di gruppo (IAS/IFRS). Le commesse lunghe sono trattate da:</w:t>
      </w:r>
    </w:p>
    <w:p>
      <w:pPr>
        <w:pStyle w:val="ListBullet"/>
      </w:pPr>
      <w:r>
        <w:rPr>
          <w:b/>
          <w:sz w:val="20"/>
        </w:rPr>
        <w:t>OIC 23 – “Lavori in corso su ordinazione”</w:t>
      </w:r>
      <w:r>
        <w:rPr>
          <w:b w:val="0"/>
          <w:sz w:val="20"/>
        </w:rPr>
        <w:t xml:space="preserve"> (Italian GAAP).</w:t>
      </w:r>
    </w:p>
    <w:p>
      <w:pPr>
        <w:pStyle w:val="ListBullet"/>
      </w:pPr>
      <w:r>
        <w:rPr>
          <w:b/>
          <w:sz w:val="20"/>
        </w:rPr>
        <w:t>IFRS 15 – “Revenue from Contracts with Customers”</w:t>
      </w:r>
      <w:r>
        <w:rPr>
          <w:b w:val="0"/>
          <w:sz w:val="20"/>
        </w:rPr>
        <w:t xml:space="preserve"> (gruppo).</w:t>
      </w:r>
    </w:p>
    <w:p>
      <w:r>
        <w:rPr>
          <w:b/>
          <w:sz w:val="21"/>
        </w:rPr>
        <w:t xml:space="preserve">Concetto chiave comune: </w:t>
      </w:r>
      <w:r>
        <w:rPr>
          <w:b w:val="0"/>
          <w:sz w:val="21"/>
        </w:rPr>
        <w:t xml:space="preserve">quando i criteri sono soddisfatti, ricavi e margine si riconoscono </w:t>
      </w:r>
      <w:r>
        <w:rPr>
          <w:b/>
          <w:sz w:val="21"/>
        </w:rPr>
        <w:t>nel tempo (over time / percentuale di completamento)</w:t>
      </w:r>
      <w:r>
        <w:rPr>
          <w:b w:val="0"/>
          <w:sz w:val="21"/>
        </w:rPr>
        <w:t xml:space="preserve">, non alla consegna. Quando non lo sono, si riconoscono </w:t>
      </w:r>
      <w:r>
        <w:rPr>
          <w:b/>
          <w:sz w:val="21"/>
        </w:rPr>
        <w:t>a un punto nel tempo (alla consegna/collaudo)</w:t>
      </w:r>
      <w:r>
        <w:rPr>
          <w:b w:val="0"/>
          <w:sz w:val="21"/>
        </w:rPr>
        <w:t>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2. IFRS 15 — il modello in 5 step</w:t>
      </w:r>
    </w:p>
    <w:p>
      <w:pPr>
        <w:pStyle w:val="ListNumber"/>
      </w:pPr>
      <w:r>
        <w:rPr>
          <w:b/>
          <w:sz w:val="20"/>
        </w:rPr>
        <w:t>Identifica il contratto</w:t>
      </w:r>
      <w:r>
        <w:rPr>
          <w:b w:val="0"/>
          <w:sz w:val="20"/>
        </w:rPr>
        <w:t xml:space="preserve"> con il cliente (diritti/obblighi esecutivi, incasso probabile).</w:t>
      </w:r>
    </w:p>
    <w:p>
      <w:pPr>
        <w:pStyle w:val="ListNumber"/>
      </w:pPr>
      <w:r>
        <w:rPr>
          <w:b/>
          <w:sz w:val="20"/>
        </w:rPr>
        <w:t>Identifica le performance obligations (PO)</w:t>
      </w:r>
      <w:r>
        <w:rPr>
          <w:b w:val="0"/>
          <w:sz w:val="20"/>
        </w:rPr>
        <w:t xml:space="preserve"> — le prestazioni distinte: es. macchina, installazione, commissioning, training, ricambi, service/garanzia estesa.</w:t>
      </w:r>
    </w:p>
    <w:p>
      <w:pPr>
        <w:pStyle w:val="ListNumber"/>
      </w:pPr>
      <w:r>
        <w:rPr>
          <w:b/>
          <w:sz w:val="20"/>
        </w:rPr>
        <w:t>Determina il prezzo della transazione</w:t>
      </w:r>
      <w:r>
        <w:rPr>
          <w:b w:val="0"/>
          <w:sz w:val="20"/>
        </w:rPr>
        <w:t xml:space="preserve"> — incluso il </w:t>
      </w:r>
      <w:r>
        <w:rPr>
          <w:b/>
          <w:sz w:val="20"/>
        </w:rPr>
        <w:t>variable consideration</w:t>
      </w:r>
      <w:r>
        <w:rPr>
          <w:b w:val="0"/>
          <w:sz w:val="20"/>
        </w:rPr>
        <w:t xml:space="preserve"> (penali, bonus, milestone) e l'eventuale </w:t>
      </w:r>
      <w:r>
        <w:rPr>
          <w:b/>
          <w:sz w:val="20"/>
        </w:rPr>
        <w:t>componente finanziaria significativa</w:t>
      </w:r>
      <w:r>
        <w:rPr>
          <w:b w:val="0"/>
          <w:sz w:val="20"/>
        </w:rPr>
        <w:t xml:space="preserve"> sugli acconti.</w:t>
      </w:r>
    </w:p>
    <w:p>
      <w:pPr>
        <w:pStyle w:val="ListNumber"/>
      </w:pPr>
      <w:r>
        <w:rPr>
          <w:b/>
          <w:sz w:val="20"/>
        </w:rPr>
        <w:t>Alloca il prezzo</w:t>
      </w:r>
      <w:r>
        <w:rPr>
          <w:b w:val="0"/>
          <w:sz w:val="20"/>
        </w:rPr>
        <w:t xml:space="preserve"> alle PO in base allo </w:t>
      </w:r>
      <w:r>
        <w:rPr>
          <w:b/>
          <w:sz w:val="20"/>
        </w:rPr>
        <w:t>stand-alone selling price</w:t>
      </w:r>
      <w:r>
        <w:rPr>
          <w:b w:val="0"/>
          <w:sz w:val="20"/>
        </w:rPr>
        <w:t>.</w:t>
      </w:r>
    </w:p>
    <w:p>
      <w:pPr>
        <w:pStyle w:val="ListNumber"/>
      </w:pPr>
      <w:r>
        <w:rPr>
          <w:b/>
          <w:sz w:val="20"/>
        </w:rPr>
        <w:t>Riconosci il ricavo</w:t>
      </w:r>
      <w:r>
        <w:rPr>
          <w:b w:val="0"/>
          <w:sz w:val="20"/>
        </w:rPr>
        <w:t xml:space="preserve"> quando/man mano che la PO è soddisfatta — </w:t>
      </w:r>
      <w:r>
        <w:rPr>
          <w:b/>
          <w:sz w:val="20"/>
        </w:rPr>
        <w:t>over time</w:t>
      </w:r>
      <w:r>
        <w:rPr>
          <w:b w:val="0"/>
          <w:sz w:val="20"/>
        </w:rPr>
        <w:t xml:space="preserve"> oppure </w:t>
      </w:r>
      <w:r>
        <w:rPr>
          <w:b/>
          <w:sz w:val="20"/>
        </w:rPr>
        <w:t>point in time</w:t>
      </w:r>
      <w:r>
        <w:rPr>
          <w:b w:val="0"/>
          <w:sz w:val="20"/>
        </w:rPr>
        <w:t>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3. Over time o point in time? (il giudizio chiave per le macchine)</w:t>
      </w:r>
    </w:p>
    <w:p>
      <w:r>
        <w:rPr>
          <w:b w:val="0"/>
          <w:sz w:val="21"/>
        </w:rPr>
        <w:t xml:space="preserve">Si riconosce </w:t>
      </w:r>
      <w:r>
        <w:rPr>
          <w:b/>
          <w:sz w:val="21"/>
        </w:rPr>
        <w:t>OVER TIME</w:t>
      </w:r>
      <w:r>
        <w:rPr>
          <w:b w:val="0"/>
          <w:sz w:val="21"/>
        </w:rPr>
        <w:t xml:space="preserve"> se è soddisfatto almeno uno dei 3 criteri (IFRS 15.35):</w:t>
      </w:r>
    </w:p>
    <w:p>
      <w:pPr>
        <w:pStyle w:val="ListBullet"/>
      </w:pPr>
      <w:r>
        <w:rPr>
          <w:b/>
          <w:sz w:val="20"/>
        </w:rPr>
        <w:t xml:space="preserve">(a) </w:t>
      </w:r>
      <w:r>
        <w:rPr>
          <w:b w:val="0"/>
          <w:sz w:val="20"/>
        </w:rPr>
        <w:t>il cliente riceve e consuma i benefici man mano (tipico dei servizi continuativi);</w:t>
      </w:r>
    </w:p>
    <w:p>
      <w:pPr>
        <w:pStyle w:val="ListBullet"/>
      </w:pPr>
      <w:r>
        <w:rPr>
          <w:b/>
          <w:sz w:val="20"/>
        </w:rPr>
        <w:t xml:space="preserve">(b) </w:t>
      </w:r>
      <w:r>
        <w:rPr>
          <w:b w:val="0"/>
          <w:sz w:val="20"/>
        </w:rPr>
        <w:t>la prestazione crea/migliora un asset che il cliente controlla mentre è costruito;</w:t>
      </w:r>
    </w:p>
    <w:p>
      <w:pPr>
        <w:pStyle w:val="ListBullet"/>
      </w:pPr>
      <w:r>
        <w:rPr>
          <w:b/>
          <w:sz w:val="20"/>
        </w:rPr>
        <w:t xml:space="preserve">(c) </w:t>
      </w:r>
      <w:r>
        <w:rPr>
          <w:b w:val="0"/>
          <w:sz w:val="20"/>
        </w:rPr>
        <w:t xml:space="preserve">l'asset </w:t>
      </w:r>
      <w:r>
        <w:rPr>
          <w:b/>
          <w:sz w:val="20"/>
        </w:rPr>
        <w:t>non ha uso alternativo</w:t>
      </w:r>
      <w:r>
        <w:rPr>
          <w:b w:val="0"/>
          <w:sz w:val="20"/>
        </w:rPr>
        <w:t xml:space="preserve"> per il fornitore (è su misura) </w:t>
      </w:r>
      <w:r>
        <w:rPr>
          <w:b/>
          <w:sz w:val="20"/>
        </w:rPr>
        <w:t>e</w:t>
      </w:r>
      <w:r>
        <w:rPr>
          <w:b w:val="0"/>
          <w:sz w:val="20"/>
        </w:rPr>
        <w:t xml:space="preserve"> c'è </w:t>
      </w:r>
      <w:r>
        <w:rPr>
          <w:b/>
          <w:sz w:val="20"/>
        </w:rPr>
        <w:t>diritto contrattuale al pagamento per il lavoro svolto a oggi</w:t>
      </w:r>
      <w:r>
        <w:rPr>
          <w:b w:val="0"/>
          <w:sz w:val="20"/>
        </w:rPr>
        <w:t xml:space="preserve"> (costi + margine ragionevole).</w:t>
      </w:r>
    </w:p>
    <w:p>
      <w:r>
        <w:rPr>
          <w:b w:val="0"/>
          <w:sz w:val="21"/>
        </w:rPr>
        <w:t xml:space="preserve">Per impianti su misura, spesso vale il </w:t>
      </w:r>
      <w:r>
        <w:rPr>
          <w:b/>
          <w:sz w:val="21"/>
        </w:rPr>
        <w:t>(c)</w:t>
      </w:r>
      <w:r>
        <w:rPr>
          <w:b w:val="0"/>
          <w:sz w:val="21"/>
        </w:rPr>
        <w:t xml:space="preserve"> → riconoscimento over time. Se invece l'asset è standard/rivendibile o non c'è diritto al pagamento progressivo → </w:t>
      </w:r>
      <w:r>
        <w:rPr>
          <w:b/>
          <w:sz w:val="21"/>
        </w:rPr>
        <w:t>point in time</w:t>
      </w:r>
      <w:r>
        <w:rPr>
          <w:b w:val="0"/>
          <w:sz w:val="21"/>
        </w:rPr>
        <w:t xml:space="preserve"> alla consegna/collaudo. È una </w:t>
      </w:r>
      <w:r>
        <w:rPr>
          <w:b/>
          <w:sz w:val="21"/>
        </w:rPr>
        <w:t>scelta contrattuale</w:t>
      </w:r>
      <w:r>
        <w:rPr>
          <w:b w:val="0"/>
          <w:sz w:val="21"/>
        </w:rPr>
        <w:t>: clausole su titolo, accettazione e diritto al pagamento determinano il trattamento. Da verificare in DD.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4. Come si misura l'avanzamento (% completion)</w:t>
      </w:r>
    </w:p>
    <w:p>
      <w:r>
        <w:rPr>
          <w:b/>
          <w:sz w:val="21"/>
        </w:rPr>
        <w:t>Input method – cost-to-cost (il più comune):</w:t>
      </w:r>
    </w:p>
    <w:p>
      <w:r>
        <w:rPr>
          <w:b w:val="0"/>
          <w:sz w:val="20"/>
        </w:rPr>
        <w:t xml:space="preserve">   % avanzamento = costi sostenuti a oggi ÷ costi totali stimati (EAC).  Ricavo del periodo = % × prezzo della transazione.</w:t>
      </w:r>
    </w:p>
    <w:p>
      <w:r>
        <w:rPr>
          <w:b/>
          <w:sz w:val="21"/>
        </w:rPr>
        <w:t>Output method:</w:t>
      </w:r>
      <w:r>
        <w:rPr>
          <w:b w:val="0"/>
          <w:sz w:val="21"/>
        </w:rPr>
        <w:t xml:space="preserve"> milestone, unità prodotte, perizie tecniche di avanzamento fisico.</w:t>
      </w:r>
    </w:p>
    <w:p>
      <w:r>
        <w:rPr>
          <w:b/>
          <w:sz w:val="21"/>
        </w:rPr>
        <w:t xml:space="preserve">Attenzione: </w:t>
      </w:r>
      <w:r>
        <w:rPr>
          <w:b w:val="0"/>
          <w:sz w:val="21"/>
        </w:rPr>
        <w:t xml:space="preserve">i materiali a piè d'opera non ancora “consumati” e gli </w:t>
      </w:r>
      <w:r>
        <w:rPr>
          <w:b/>
          <w:sz w:val="21"/>
        </w:rPr>
        <w:t>uplift iniziali (mobilization)</w:t>
      </w:r>
      <w:r>
        <w:rPr>
          <w:b w:val="0"/>
          <w:sz w:val="21"/>
        </w:rPr>
        <w:t xml:space="preserve"> possono distorcere il cost-to-cost → si rettificano. La qualità della stima </w:t>
      </w:r>
      <w:r>
        <w:rPr>
          <w:b/>
          <w:sz w:val="21"/>
        </w:rPr>
        <w:t>cost-to-complete</w:t>
      </w:r>
      <w:r>
        <w:rPr>
          <w:b w:val="0"/>
          <w:sz w:val="21"/>
        </w:rPr>
        <w:t xml:space="preserve"> è il cuore del controllo di commessa.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5. Contract asset vs contract liability (la meccanica del WIP e degli acconti)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b/>
                <w:sz w:val="19"/>
              </w:rPr>
              <w:t>Posta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Cos'è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Dove (IFRS 15)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Nel caso Hennecke-OMS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Contract asset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Ricavo maturato ma non ancora fatturato (over-billing del lavoro sul cliente)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Attivo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Lavori in corso su ordinazione (€3,4M, 2024)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Receivable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Credito incondizionato (già fatturato, manca solo l'incasso)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Attivo (crediti v/clienti)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Crediti v/clienti (bassi: €0,7M)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Contract liability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Fatturato/acconti incassati in eccesso rispetto al ricavo maturato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Passivo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Acconti da clienti (€10,9M)</w:t>
            </w:r>
          </w:p>
        </w:tc>
      </w:tr>
    </w:tbl>
    <w:p>
      <w:r>
        <w:rPr>
          <w:b/>
          <w:sz w:val="21"/>
        </w:rPr>
        <w:t xml:space="preserve">Lettura: </w:t>
      </w:r>
      <w:r>
        <w:rPr>
          <w:b w:val="0"/>
          <w:sz w:val="21"/>
        </w:rPr>
        <w:t xml:space="preserve">acconti elevati + WIP contenuto → il circolante è </w:t>
      </w:r>
      <w:r>
        <w:rPr>
          <w:b/>
          <w:sz w:val="21"/>
        </w:rPr>
        <w:t>autofinanziato dai clienti</w:t>
      </w:r>
      <w:r>
        <w:rPr>
          <w:b w:val="0"/>
          <w:sz w:val="21"/>
        </w:rPr>
        <w:t xml:space="preserve"> (DSO bassissimo, ~3–5 gg). È una forza del modello, ma gli acconti sono un </w:t>
      </w:r>
      <w:r>
        <w:rPr>
          <w:b/>
          <w:sz w:val="21"/>
        </w:rPr>
        <w:t>debito/obbligazione di performance</w:t>
      </w:r>
      <w:r>
        <w:rPr>
          <w:b w:val="0"/>
          <w:sz w:val="21"/>
        </w:rPr>
        <w:t>, non cassa “libera”.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6. OIC 23 — “Lavori in corso su ordinazione” (lato civilistico)</w:t>
      </w:r>
    </w:p>
    <w:p>
      <w:pPr>
        <w:pStyle w:val="ListBullet"/>
      </w:pPr>
      <w:r>
        <w:rPr>
          <w:b w:val="0"/>
          <w:sz w:val="20"/>
        </w:rPr>
        <w:t xml:space="preserve">Se i ricavi e lo stato avanzamento sono stimabili in modo attendibile → </w:t>
      </w:r>
      <w:r>
        <w:rPr>
          <w:b/>
          <w:sz w:val="20"/>
        </w:rPr>
        <w:t>criterio della percentuale di completamento</w:t>
      </w:r>
      <w:r>
        <w:rPr>
          <w:b w:val="0"/>
          <w:sz w:val="20"/>
        </w:rPr>
        <w:t xml:space="preserve"> (di norma cost-to-cost): ricavi e margine maturano nel tempo.</w:t>
      </w:r>
    </w:p>
    <w:p>
      <w:pPr>
        <w:pStyle w:val="ListBullet"/>
      </w:pPr>
      <w:r>
        <w:rPr>
          <w:b w:val="0"/>
          <w:sz w:val="20"/>
        </w:rPr>
        <w:t xml:space="preserve">Altrimenti → </w:t>
      </w:r>
      <w:r>
        <w:rPr>
          <w:b/>
          <w:sz w:val="20"/>
        </w:rPr>
        <w:t>criterio della commessa completata</w:t>
      </w:r>
      <w:r>
        <w:rPr>
          <w:b w:val="0"/>
          <w:sz w:val="20"/>
        </w:rPr>
        <w:t xml:space="preserve"> (ricavo a fine commessa).</w:t>
      </w:r>
    </w:p>
    <w:p>
      <w:pPr>
        <w:pStyle w:val="ListBullet"/>
      </w:pPr>
      <w:r>
        <w:rPr>
          <w:b w:val="0"/>
          <w:sz w:val="20"/>
        </w:rPr>
        <w:t xml:space="preserve">La </w:t>
      </w:r>
      <w:r>
        <w:rPr>
          <w:b/>
          <w:sz w:val="20"/>
        </w:rPr>
        <w:t>variazione dei lavori in corso su ordinazione</w:t>
      </w:r>
      <w:r>
        <w:rPr>
          <w:b w:val="0"/>
          <w:sz w:val="20"/>
        </w:rPr>
        <w:t xml:space="preserve"> transita a conto economico nel </w:t>
      </w:r>
      <w:r>
        <w:rPr>
          <w:b/>
          <w:sz w:val="20"/>
        </w:rPr>
        <w:t>Valore della produzione (voce A.3)</w:t>
      </w:r>
      <w:r>
        <w:rPr>
          <w:b w:val="0"/>
          <w:sz w:val="20"/>
        </w:rPr>
        <w:t xml:space="preserve"> → </w:t>
      </w:r>
      <w:r>
        <w:rPr>
          <w:b/>
          <w:sz w:val="20"/>
        </w:rPr>
        <w:t>ecco perché il loro “valore della produzione” gonfia/sgonfia con il WIP.</w:t>
      </w:r>
    </w:p>
    <w:p>
      <w:pPr>
        <w:pStyle w:val="ListBullet"/>
      </w:pPr>
      <w:r>
        <w:rPr>
          <w:b w:val="0"/>
          <w:sz w:val="20"/>
        </w:rPr>
        <w:t xml:space="preserve">Perdite previste a finire → </w:t>
      </w:r>
      <w:r>
        <w:rPr>
          <w:b/>
          <w:sz w:val="20"/>
        </w:rPr>
        <w:t>fondo per rischi su commesse (onerous contract)</w:t>
      </w:r>
      <w:r>
        <w:rPr>
          <w:b w:val="0"/>
          <w:sz w:val="20"/>
        </w:rPr>
        <w:t xml:space="preserve"> rilevato subito.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7. Esempio numerico (da saper rifare alla lavagna)</w:t>
      </w:r>
    </w:p>
    <w:p>
      <w:r>
        <w:rPr>
          <w:b w:val="0"/>
          <w:sz w:val="21"/>
        </w:rPr>
        <w:t>Commessa: macchina su misura, prezzo €10,0M, costi totali stimati €8,0M (margine atteso €2,0M, 20%). Durata 2 anni. Metodo cost-to-cost. Acconto €3,0M all'ordine.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Anno 1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Anno 2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9"/>
              </w:rPr>
              <w:t>Totale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Costi sostenuti nel periodo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6,0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2,0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8,0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% avanzamento cumulata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75%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Ricavo riconosciuto (10,0 × %)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7,5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2,5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10,0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Margine riconosciuto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1,5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0,5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2,0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Variazione WIP / contract asset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+1,5*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−1,5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r>
        <w:rPr>
          <w:b w:val="0"/>
          <w:sz w:val="21"/>
        </w:rPr>
        <w:t xml:space="preserve">* In Anno 1: ricavo 7,5 vs fatturato/acconto 3,0 → </w:t>
      </w:r>
      <w:r>
        <w:rPr>
          <w:b/>
          <w:sz w:val="21"/>
        </w:rPr>
        <w:t>contract asset (WIP) = 4,5</w:t>
      </w:r>
      <w:r>
        <w:rPr>
          <w:b w:val="0"/>
          <w:sz w:val="21"/>
        </w:rPr>
        <w:t xml:space="preserve"> al netto si riflette nella “variazione lavori in corso”; in Anno 2 il WIP si smaltisce (segno negativo). </w:t>
      </w:r>
      <w:r>
        <w:rPr>
          <w:b/>
          <w:sz w:val="21"/>
        </w:rPr>
        <w:t>Questo è esattamente il meccanismo dietro il loro swing +€19,3M → -€0,5M.</w:t>
      </w:r>
    </w:p>
    <w:p>
      <w:r>
        <w:rPr>
          <w:b/>
          <w:sz w:val="20"/>
        </w:rPr>
        <w:t xml:space="preserve">Scrittura tipica Anno 1 (semplificata): </w:t>
      </w:r>
      <w:r>
        <w:rPr>
          <w:b w:val="0"/>
          <w:sz w:val="20"/>
        </w:rPr>
        <w:t>Costi a fornitori/magazzino; a fine periodo si rileva il ricavo maturato (7,5) con contropartita contract asset (al netto degli acconti girati a contract liability).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8. Stime, giudizi e rischi (dove un CFO crea o brucia valore)</w:t>
      </w:r>
    </w:p>
    <w:p>
      <w:pPr>
        <w:pStyle w:val="ListBullet"/>
      </w:pPr>
      <w:r>
        <w:rPr>
          <w:b/>
          <w:sz w:val="20"/>
        </w:rPr>
        <w:t>Cost-to-complete &amp; EAC</w:t>
      </w:r>
      <w:r>
        <w:rPr>
          <w:b w:val="0"/>
          <w:sz w:val="20"/>
        </w:rPr>
        <w:t>: revisione periodica; un errore di stima ribalta il margine (“margin-at-completion”).</w:t>
      </w:r>
    </w:p>
    <w:p>
      <w:pPr>
        <w:pStyle w:val="ListBullet"/>
      </w:pPr>
      <w:r>
        <w:rPr>
          <w:b/>
          <w:sz w:val="20"/>
        </w:rPr>
        <w:t>Variable consideration</w:t>
      </w:r>
      <w:r>
        <w:rPr>
          <w:b w:val="0"/>
          <w:sz w:val="20"/>
        </w:rPr>
        <w:t>: penali per ritardo, bonus, claim — da stimare con il “constraint” (solo se altamente probabile).</w:t>
      </w:r>
    </w:p>
    <w:p>
      <w:pPr>
        <w:pStyle w:val="ListBullet"/>
      </w:pPr>
      <w:r>
        <w:rPr>
          <w:b/>
          <w:sz w:val="20"/>
        </w:rPr>
        <w:t>Onerous contracts</w:t>
      </w:r>
      <w:r>
        <w:rPr>
          <w:b w:val="0"/>
          <w:sz w:val="20"/>
        </w:rPr>
        <w:t>: perdita attesa → accantonamento immediato e integrale.</w:t>
      </w:r>
    </w:p>
    <w:p>
      <w:pPr>
        <w:pStyle w:val="ListBullet"/>
      </w:pPr>
      <w:r>
        <w:rPr>
          <w:b/>
          <w:sz w:val="20"/>
        </w:rPr>
        <w:t>Contract modifications / varianti</w:t>
      </w:r>
      <w:r>
        <w:rPr>
          <w:b w:val="0"/>
          <w:sz w:val="20"/>
        </w:rPr>
        <w:t>: se distinte → nuovo contratto; altrimenti catch-up cumulativo.</w:t>
      </w:r>
    </w:p>
    <w:p>
      <w:pPr>
        <w:pStyle w:val="ListBullet"/>
      </w:pPr>
      <w:r>
        <w:rPr>
          <w:b/>
          <w:sz w:val="20"/>
        </w:rPr>
        <w:t>Significant financing component</w:t>
      </w:r>
      <w:r>
        <w:rPr>
          <w:b w:val="0"/>
          <w:sz w:val="20"/>
        </w:rPr>
        <w:t>: acconti rilevanti (€10,9M) possono contenere una componente finanziaria implicita.</w:t>
      </w:r>
    </w:p>
    <w:p>
      <w:pPr>
        <w:pStyle w:val="ListBullet"/>
      </w:pPr>
      <w:r>
        <w:rPr>
          <w:b/>
          <w:sz w:val="20"/>
        </w:rPr>
        <w:t>Warranty &amp; performance bond</w:t>
      </w:r>
      <w:r>
        <w:rPr>
          <w:b w:val="0"/>
          <w:sz w:val="20"/>
        </w:rPr>
        <w:t>: garanzia di legge (costo) vs garanzia-servizio (PO separata); fideiussioni e penali.</w:t>
      </w:r>
    </w:p>
    <w:p>
      <w:pPr>
        <w:pStyle w:val="ListBullet"/>
      </w:pPr>
      <w:r>
        <w:rPr>
          <w:b/>
          <w:sz w:val="20"/>
        </w:rPr>
        <w:t>Intercompany</w:t>
      </w:r>
      <w:r>
        <w:rPr>
          <w:b w:val="0"/>
          <w:sz w:val="20"/>
        </w:rPr>
        <w:t>: prezzi di trasferimento su forniture/ingegneria con Hennecke GmbH → isolare il margine stand-alone (collega al transfer pricing, tuo punto forte).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9. KPI e “red flags” di controllo commessa</w:t>
      </w:r>
    </w:p>
    <w:p>
      <w:pPr>
        <w:pStyle w:val="ListBullet"/>
      </w:pPr>
      <w:r>
        <w:rPr>
          <w:b/>
          <w:sz w:val="20"/>
        </w:rPr>
        <w:t>Backlog / book-to-bill</w:t>
      </w:r>
      <w:r>
        <w:rPr>
          <w:b w:val="0"/>
          <w:sz w:val="20"/>
        </w:rPr>
        <w:t>, margine-a-finire per commessa, EAC vs budget.</w:t>
      </w:r>
    </w:p>
    <w:p>
      <w:pPr>
        <w:pStyle w:val="ListBullet"/>
      </w:pPr>
      <w:r>
        <w:rPr>
          <w:b/>
          <w:sz w:val="20"/>
        </w:rPr>
        <w:t>Over/under-billing</w:t>
      </w:r>
      <w:r>
        <w:rPr>
          <w:b w:val="0"/>
          <w:sz w:val="20"/>
        </w:rPr>
        <w:t xml:space="preserve"> (contract asset vs liability) e cash-curve della commessa (milestone di incasso).</w:t>
      </w:r>
    </w:p>
    <w:p>
      <w:pPr>
        <w:pStyle w:val="ListBullet"/>
      </w:pPr>
      <w:r>
        <w:rPr>
          <w:b/>
          <w:sz w:val="20"/>
        </w:rPr>
        <w:t>Slittamenti costi/tempi</w:t>
      </w:r>
      <w:r>
        <w:rPr>
          <w:b w:val="0"/>
          <w:sz w:val="20"/>
        </w:rPr>
        <w:t>, indice di affidabilità delle stime, perdite previste, claim aperti.</w:t>
      </w:r>
    </w:p>
    <w:p>
      <w:pPr>
        <w:pStyle w:val="ListBullet"/>
      </w:pPr>
      <w:r>
        <w:rPr>
          <w:b/>
          <w:sz w:val="20"/>
        </w:rPr>
        <w:t>Normalizzazione EBITDA</w:t>
      </w:r>
      <w:r>
        <w:rPr>
          <w:b w:val="0"/>
          <w:sz w:val="20"/>
        </w:rPr>
        <w:t>: depurare swing di WIP, one-off e infragruppo → run-rate sostenibile.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10. Domande probabili al colloquio — e risposte pronte</w:t>
      </w:r>
    </w:p>
    <w:p>
      <w:r>
        <w:rPr>
          <w:b/>
          <w:color w:val="1F3A5F"/>
          <w:sz w:val="21"/>
        </w:rPr>
        <w:t xml:space="preserve">Q: </w:t>
      </w:r>
      <w:r>
        <w:rPr>
          <w:b/>
          <w:sz w:val="21"/>
        </w:rPr>
        <w:t>Why did value of production fall more than revenue in 2024?</w:t>
      </w:r>
    </w:p>
    <w:p>
      <w:r>
        <w:rPr>
          <w:b/>
          <w:color w:val="C8102E"/>
          <w:sz w:val="21"/>
        </w:rPr>
        <w:t xml:space="preserve">A: </w:t>
      </w:r>
      <w:r>
        <w:rPr>
          <w:b w:val="0"/>
          <w:sz w:val="21"/>
        </w:rPr>
        <w:t>Perché contiene la variazione dei lavori in corso: nel 2023 il WIP è cresciuto di +€19,3M (gonfiando il valore della produzione), nel 2024 si è smaltito (-€0,5M). È timing di commessa, non calo di domanda strutturale.</w:t>
      </w:r>
    </w:p>
    <w:p>
      <w:r>
        <w:rPr>
          <w:b/>
          <w:color w:val="1F3A5F"/>
          <w:sz w:val="21"/>
        </w:rPr>
        <w:t xml:space="preserve">Q: </w:t>
      </w:r>
      <w:r>
        <w:rPr>
          <w:b/>
          <w:sz w:val="21"/>
        </w:rPr>
        <w:t>Over time or point in time for your machines?</w:t>
      </w:r>
    </w:p>
    <w:p>
      <w:r>
        <w:rPr>
          <w:b/>
          <w:color w:val="C8102E"/>
          <w:sz w:val="21"/>
        </w:rPr>
        <w:t xml:space="preserve">A: </w:t>
      </w:r>
      <w:r>
        <w:rPr>
          <w:b w:val="0"/>
          <w:sz w:val="21"/>
        </w:rPr>
        <w:t>Dipende dalle clausole: per macchine su misura senza uso alternativo e con diritto al pagamento per il lavoro svolto, over time (IFRS 15.35c); altrimenti point in time alla consegna/collaudo. Da confermare contratto per contratto in DD.</w:t>
      </w:r>
    </w:p>
    <w:p>
      <w:r>
        <w:rPr>
          <w:b/>
          <w:color w:val="1F3A5F"/>
          <w:sz w:val="21"/>
        </w:rPr>
        <w:t xml:space="preserve">Q: </w:t>
      </w:r>
      <w:r>
        <w:rPr>
          <w:b/>
          <w:sz w:val="21"/>
        </w:rPr>
        <w:t>How would you normalise EBITDA here?</w:t>
      </w:r>
    </w:p>
    <w:p>
      <w:r>
        <w:rPr>
          <w:b/>
          <w:color w:val="C8102E"/>
          <w:sz w:val="21"/>
        </w:rPr>
        <w:t xml:space="preserve">A: </w:t>
      </w:r>
      <w:r>
        <w:rPr>
          <w:b w:val="0"/>
          <w:sz w:val="21"/>
        </w:rPr>
        <w:t>Depuro lo swing di WIP, one-off e componenti infragruppo (transfer pricing), normalizzo su più esercizi e su backlog/margine-a-finire; misuro la redditività stand-alone.</w:t>
      </w:r>
    </w:p>
    <w:p>
      <w:r>
        <w:rPr>
          <w:b/>
          <w:color w:val="1F3A5F"/>
          <w:sz w:val="21"/>
        </w:rPr>
        <w:t xml:space="preserve">Q: </w:t>
      </w:r>
      <w:r>
        <w:rPr>
          <w:b/>
          <w:sz w:val="21"/>
        </w:rPr>
        <w:t>How do you control project margins?</w:t>
      </w:r>
    </w:p>
    <w:p>
      <w:r>
        <w:rPr>
          <w:b/>
          <w:color w:val="C8102E"/>
          <w:sz w:val="21"/>
        </w:rPr>
        <w:t xml:space="preserve">A: </w:t>
      </w:r>
      <w:r>
        <w:rPr>
          <w:b w:val="0"/>
          <w:sz w:val="21"/>
        </w:rPr>
        <w:t>Cost-to-complete/EAC rivisti mensilmente, margin-at-completion per commessa, gestione varianti/claim, accantonamento immediato su commesse in perdita, disciplina di pricing sul backlog.</w:t>
      </w:r>
    </w:p>
    <w:p>
      <w:r>
        <w:rPr>
          <w:b/>
          <w:color w:val="1F3A5F"/>
          <w:sz w:val="21"/>
        </w:rPr>
        <w:t xml:space="preserve">Q: </w:t>
      </w:r>
      <w:r>
        <w:rPr>
          <w:b/>
          <w:sz w:val="21"/>
        </w:rPr>
        <w:t>Are customer advances 'free cash'?</w:t>
      </w:r>
    </w:p>
    <w:p>
      <w:r>
        <w:rPr>
          <w:b/>
          <w:color w:val="C8102E"/>
          <w:sz w:val="21"/>
        </w:rPr>
        <w:t xml:space="preserve">A: </w:t>
      </w:r>
      <w:r>
        <w:rPr>
          <w:b w:val="0"/>
          <w:sz w:val="21"/>
        </w:rPr>
        <w:t>No: sono contract liability, un'obbligazione di performance. Ottimi per il circolante (DSO basso) ma vanno gestiti su milestone; possibile componente finanziaria significativa.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6"/>
        </w:rPr>
        <w:t>11. Glossario rapido IT / 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19"/>
              </w:rPr>
              <w:t>Italiano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9"/>
              </w:rPr>
              <w:t>English</w:t>
            </w:r>
          </w:p>
        </w:tc>
        <w:tc>
          <w:tcPr>
            <w:tcW w:type="dxa" w:w="3360"/>
          </w:tcPr>
          <w:p>
            <w:r/>
            <w:r>
              <w:rPr>
                <w:b/>
                <w:sz w:val="19"/>
              </w:rPr>
              <w:t>Nota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Lavori in corso su ordinazione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Work in progress / contract asset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OIC 23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Percentuale di completamento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Percentage-of-completion (over time)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cost-to-cost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Commessa completata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Completed-contract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se stime non attendibili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Acconti da clienti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Customer advances / contract liability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passivo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Costi a finire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Cost-to-complete / EAC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stima chiave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Commessa in perdita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Onerous contract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accantonamento immediato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Corrispettivo variabile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Variable consideration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penali/bonus, con constraint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sz w:val="19"/>
              </w:rPr>
              <w:t>Obbligazione di fare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Performance obligation (PO)</w:t>
            </w:r>
          </w:p>
        </w:tc>
        <w:tc>
          <w:tcPr>
            <w:tcW w:type="dxa" w:w="3360"/>
          </w:tcPr>
          <w:p>
            <w:r/>
            <w:r>
              <w:rPr>
                <w:sz w:val="19"/>
              </w:rPr>
              <w:t>unità di ricavo</w:t>
            </w:r>
          </w:p>
        </w:tc>
      </w:tr>
    </w:tbl>
    <w:p>
      <w:r>
        <w:rPr>
          <w:b/>
          <w:sz w:val="21"/>
        </w:rPr>
        <w:t xml:space="preserve">Tip finale: </w:t>
      </w:r>
      <w:r>
        <w:rPr>
          <w:b w:val="0"/>
          <w:color w:val="C8102E"/>
          <w:sz w:val="21"/>
        </w:rPr>
        <w:t>entra in sala dicendo che “leggi” il loro 2024 in chiave di commessa — dimostri subito di aver capito il business e disinneschi il dubbio sul gap di project accounting.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