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phenotypic_cor_replication</w:t>
      </w:r>
    </w:p>
    <w:p>
      <w:pPr>
        <w:pStyle w:val="Author"/>
      </w:pPr>
      <w:r>
        <w:t xml:space="preserve">Giacomo</w:t>
      </w:r>
      <w:r>
        <w:t xml:space="preserve"> </w:t>
      </w:r>
      <w:r>
        <w:t xml:space="preserve">Bignardi</w:t>
      </w:r>
    </w:p>
    <w:p>
      <w:pPr>
        <w:pStyle w:val="Date"/>
      </w:pPr>
      <w:r>
        <w:t xml:space="preserve">2023-10-10</w:t>
      </w:r>
    </w:p>
    <w:bookmarkStart w:id="20" w:name="Xa675a74acb08ec0d58ff2cf39d461d4842c6e9e"/>
    <w:p>
      <w:pPr>
        <w:pStyle w:val="Heading2"/>
      </w:pPr>
      <w:r>
        <w:t xml:space="preserve">S9. Phenotypic correlations replicate in a third non-overlapping sample</w:t>
      </w:r>
    </w:p>
    <w:p>
      <w:pPr>
        <w:pStyle w:val="FirstParagraph"/>
      </w:pPr>
      <w:r>
        <w:t xml:space="preserve">We replicated phenotypic correlations in the same independent sample used to compute the stability of taste-typicality and evaluation-bias (see S8 for details). We followed the same procedure outlined for all samples and computed Pearson correlations between taste-typicality for scenes and faces. Estimates were in line with what we have reported for the other two samples (as reported in main Figure 3), with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= 0.3, 95% CI [0.08, 0.5],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=0.008, computed from data obtained on the first test, and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= 0.27, 95% CI [0.04, 0.47],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=0.02, computed on data obtained on the following test (3 days apart, see above S8). Similar conclusions were reached by computing correlations between evaluation-bias for scenes and faces, with with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= 0.35, 95% CI [0.14, 0.54],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=0.002, and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= 0.44, 95% CI [0.24, 0.61],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=0, first and second test, respectively. Thus, we replicated the finding obtained from the other two partially overlapping samples that taste-typicality and evaluation-bias scores tend to be partially shared across visual domains.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phenotypic_cor_replication</dc:title>
  <dc:creator>Giacomo Bignardi</dc:creator>
  <cp:keywords/>
  <dcterms:created xsi:type="dcterms:W3CDTF">2023-10-18T08:41:25Z</dcterms:created>
  <dcterms:modified xsi:type="dcterms:W3CDTF">2023-10-18T08:41:25Z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>word_document</vt:lpwstr>
  </property>
</Properties>
</file>