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TRoll Evolves</w:t>
      </w:r>
    </w:p>
    <w:p>
      <w:pPr>
        <w:pStyle w:val="Subtitle"/>
        <w:jc w:val="center"/>
      </w:pPr>
      <w:r>
        <w:t>Thermal Model Physical Specification</w:t>
      </w:r>
    </w:p>
    <w:p>
      <w:pPr>
        <w:jc w:val="center"/>
      </w:pPr>
      <w:r>
        <w:rPr>
          <w:b/>
          <w:color w:val="2F5597"/>
          <w:sz w:val="18"/>
        </w:rPr>
        <w:t>PHYSICAL MODEL • NUMERICAL BASIS • DEVICE SEMANTICS</w:t>
      </w:r>
    </w:p>
    <w:p/>
    <w:tbl>
      <w:tblPr>
        <w:tblStyle w:val="TableGrid"/>
        <w:tblW w:type="auto" w:w="0"/>
        <w:jc w:val="center"/>
        <w:tblLook w:firstColumn="1" w:firstRow="1" w:lastColumn="0" w:lastRow="0" w:noHBand="0" w:noVBand="1" w:val="04A0"/>
      </w:tblPr>
      <w:tblGrid>
        <w:gridCol w:w="4762"/>
        <w:gridCol w:w="4762"/>
      </w:tblGrid>
      <w:tr>
        <w:trPr>
          <w:cantSplit/>
        </w:trPr>
        <w:tc>
          <w:tcPr>
            <w:tcW w:type="dxa" w:w="4762"/>
            <w:shd w:fill="17365D"/>
            <w:tcMar>
              <w:top w:w="110" w:type="dxa"/>
              <w:start w:w="120" w:type="dxa"/>
              <w:bottom w:w="110" w:type="dxa"/>
              <w:end w:w="120" w:type="dxa"/>
            </w:tcMar>
          </w:tcPr>
          <w:p>
            <w:r>
              <w:rPr>
                <w:b/>
                <w:color w:val="FFFFFF"/>
              </w:rPr>
              <w:t>Document status</w:t>
            </w:r>
          </w:p>
        </w:tc>
        <w:tc>
          <w:tcPr>
            <w:tcW w:type="dxa" w:w="4762"/>
            <w:tcMar>
              <w:top w:w="110" w:type="dxa"/>
              <w:start w:w="120" w:type="dxa"/>
              <w:bottom w:w="110" w:type="dxa"/>
              <w:end w:w="120" w:type="dxa"/>
            </w:tcMar>
          </w:tcPr>
          <w:p>
            <w:r>
              <w:t>Discussion draft</w:t>
            </w:r>
          </w:p>
        </w:tc>
      </w:tr>
      <w:tr>
        <w:trPr>
          <w:cantSplit/>
        </w:trPr>
        <w:tc>
          <w:tcPr>
            <w:tcW w:type="dxa" w:w="4762"/>
            <w:shd w:fill="17365D"/>
            <w:tcMar>
              <w:top w:w="110" w:type="dxa"/>
              <w:start w:w="120" w:type="dxa"/>
              <w:bottom w:w="110" w:type="dxa"/>
              <w:end w:w="120" w:type="dxa"/>
            </w:tcMar>
          </w:tcPr>
          <w:p>
            <w:r>
              <w:rPr>
                <w:b/>
                <w:color w:val="FFFFFF"/>
              </w:rPr>
              <w:t>Revision</w:t>
            </w:r>
          </w:p>
        </w:tc>
        <w:tc>
          <w:tcPr>
            <w:tcW w:type="dxa" w:w="4762"/>
            <w:tcMar>
              <w:top w:w="110" w:type="dxa"/>
              <w:start w:w="120" w:type="dxa"/>
              <w:bottom w:w="110" w:type="dxa"/>
              <w:end w:w="120" w:type="dxa"/>
            </w:tcMar>
          </w:tcPr>
          <w:p>
            <w:r>
              <w:t>0.1</w:t>
            </w:r>
          </w:p>
        </w:tc>
      </w:tr>
      <w:tr>
        <w:trPr>
          <w:cantSplit/>
        </w:trPr>
        <w:tc>
          <w:tcPr>
            <w:tcW w:type="dxa" w:w="4762"/>
            <w:shd w:fill="17365D"/>
            <w:tcMar>
              <w:top w:w="110" w:type="dxa"/>
              <w:start w:w="120" w:type="dxa"/>
              <w:bottom w:w="110" w:type="dxa"/>
              <w:end w:w="120" w:type="dxa"/>
            </w:tcMar>
          </w:tcPr>
          <w:p>
            <w:r>
              <w:rPr>
                <w:b/>
                <w:color w:val="FFFFFF"/>
              </w:rPr>
              <w:t>Date</w:t>
            </w:r>
          </w:p>
        </w:tc>
        <w:tc>
          <w:tcPr>
            <w:tcW w:type="dxa" w:w="4762"/>
            <w:tcMar>
              <w:top w:w="110" w:type="dxa"/>
              <w:start w:w="120" w:type="dxa"/>
              <w:bottom w:w="110" w:type="dxa"/>
              <w:end w:w="120" w:type="dxa"/>
            </w:tcMar>
          </w:tcPr>
          <w:p>
            <w:r>
              <w:t>2 October 2026</w:t>
            </w:r>
          </w:p>
        </w:tc>
      </w:tr>
      <w:tr>
        <w:trPr>
          <w:cantSplit/>
        </w:trPr>
        <w:tc>
          <w:tcPr>
            <w:tcW w:type="dxa" w:w="4762"/>
            <w:shd w:fill="17365D"/>
            <w:tcMar>
              <w:top w:w="110" w:type="dxa"/>
              <w:start w:w="120" w:type="dxa"/>
              <w:bottom w:w="110" w:type="dxa"/>
              <w:end w:w="120" w:type="dxa"/>
            </w:tcMar>
          </w:tcPr>
          <w:p>
            <w:r>
              <w:rPr>
                <w:b/>
                <w:color w:val="FFFFFF"/>
              </w:rPr>
              <w:t>Scope</w:t>
            </w:r>
          </w:p>
        </w:tc>
        <w:tc>
          <w:tcPr>
            <w:tcW w:type="dxa" w:w="4762"/>
            <w:tcMar>
              <w:top w:w="110" w:type="dxa"/>
              <w:start w:w="120" w:type="dxa"/>
              <w:bottom w:w="110" w:type="dxa"/>
              <w:end w:w="120" w:type="dxa"/>
            </w:tcMar>
          </w:tcPr>
          <w:p>
            <w:r>
              <w:t>Physical model and modelling interfaces</w:t>
            </w:r>
          </w:p>
        </w:tc>
      </w:tr>
    </w:tbl>
    <w:p/>
    <w:tbl>
      <w:tblPr>
        <w:tblW w:type="auto" w:w="0"/>
        <w:jc w:val="center"/>
        <w:tblLook w:firstColumn="1" w:firstRow="1" w:lastColumn="0" w:lastRow="0" w:noHBand="0" w:noVBand="1" w:val="04A0"/>
      </w:tblPr>
      <w:tblGrid>
        <w:gridCol w:w="9525"/>
      </w:tblGrid>
      <w:tr>
        <w:trPr>
          <w:cantSplit/>
        </w:trPr>
        <w:tc>
          <w:tcPr>
            <w:tcW w:type="dxa" w:w="9525"/>
            <w:shd w:fill="D9EAF7"/>
            <w:tcMar>
              <w:top w:w="140" w:type="dxa"/>
              <w:start w:w="160" w:type="dxa"/>
              <w:bottom w:w="140" w:type="dxa"/>
              <w:end w:w="160" w:type="dxa"/>
            </w:tcMar>
          </w:tcPr>
          <w:p>
            <w:pPr>
              <w:jc w:val="center"/>
            </w:pPr>
            <w:r>
              <w:rPr>
                <w:i/>
                <w:color w:val="17365D"/>
              </w:rPr>
              <w:t>This is a discussion document. It defines the proposed physical basis and records open decisions; it is not yet an implementation baseline.</w:t>
            </w:r>
          </w:p>
        </w:tc>
      </w:tr>
    </w:tbl>
    <w:p/>
    <w:p>
      <w:pPr>
        <w:jc w:val="center"/>
      </w:pPr>
      <w:r>
        <w:rPr>
          <w:color w:val="404040"/>
          <w:sz w:val="20"/>
        </w:rPr>
        <w:t>Hot Strip Mill process simulation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381"/>
        <w:gridCol w:w="2381"/>
        <w:gridCol w:w="2381"/>
        <w:gridCol w:w="2381"/>
      </w:tblGrid>
      <w:tr>
        <w:trPr>
          <w:cantSplit/>
        </w:trPr>
        <w:tc>
          <w:tcPr>
            <w:tcW w:type="dxa" w:w="2381"/>
            <w:shd w:fill="17365D"/>
            <w:tcMar>
              <w:top w:w="80" w:type="dxa"/>
              <w:start w:w="100" w:type="dxa"/>
              <w:bottom w:w="80" w:type="dxa"/>
              <w:end w:w="100" w:type="dxa"/>
            </w:tcMar>
          </w:tcPr>
          <w:p>
            <w:r>
              <w:rPr>
                <w:b/>
                <w:color w:val="FFFFFF"/>
                <w:sz w:val="18"/>
              </w:rPr>
              <w:t>Revision</w:t>
            </w:r>
          </w:p>
        </w:tc>
        <w:tc>
          <w:tcPr>
            <w:tcW w:type="dxa" w:w="2381"/>
            <w:shd w:fill="17365D"/>
            <w:tcMar>
              <w:top w:w="80" w:type="dxa"/>
              <w:start w:w="100" w:type="dxa"/>
              <w:bottom w:w="80" w:type="dxa"/>
              <w:end w:w="100" w:type="dxa"/>
            </w:tcMar>
          </w:tcPr>
          <w:p>
            <w:r>
              <w:rPr>
                <w:b/>
                <w:color w:val="FFFFFF"/>
                <w:sz w:val="18"/>
              </w:rPr>
              <w:t>Date</w:t>
            </w:r>
          </w:p>
        </w:tc>
        <w:tc>
          <w:tcPr>
            <w:tcW w:type="dxa" w:w="2381"/>
            <w:shd w:fill="17365D"/>
            <w:tcMar>
              <w:top w:w="80" w:type="dxa"/>
              <w:start w:w="100" w:type="dxa"/>
              <w:bottom w:w="80" w:type="dxa"/>
              <w:end w:w="100" w:type="dxa"/>
            </w:tcMar>
          </w:tcPr>
          <w:p>
            <w:r>
              <w:rPr>
                <w:b/>
                <w:color w:val="FFFFFF"/>
                <w:sz w:val="18"/>
              </w:rPr>
              <w:t>Status</w:t>
            </w:r>
          </w:p>
        </w:tc>
        <w:tc>
          <w:tcPr>
            <w:tcW w:type="dxa" w:w="2381"/>
            <w:shd w:fill="17365D"/>
            <w:tcMar>
              <w:top w:w="80" w:type="dxa"/>
              <w:start w:w="100" w:type="dxa"/>
              <w:bottom w:w="80" w:type="dxa"/>
              <w:end w:w="100" w:type="dxa"/>
            </w:tcMar>
          </w:tcPr>
          <w:p>
            <w:r>
              <w:rPr>
                <w:b/>
                <w:color w:val="FFFFFF"/>
                <w:sz w:val="18"/>
              </w:rPr>
              <w:t>Description</w:t>
            </w:r>
          </w:p>
        </w:tc>
      </w:tr>
      <w:tr>
        <w:trPr>
          <w:cantSplit/>
        </w:trPr>
        <w:tc>
          <w:tcPr>
            <w:tcW w:type="dxa" w:w="2381"/>
            <w:tcMar>
              <w:top w:w="80" w:type="dxa"/>
              <w:start w:w="100" w:type="dxa"/>
              <w:bottom w:w="80" w:type="dxa"/>
              <w:end w:w="100" w:type="dxa"/>
            </w:tcMar>
          </w:tcPr>
          <w:p>
            <w:r>
              <w:rPr>
                <w:sz w:val="18"/>
              </w:rPr>
              <w:t>0.1</w:t>
            </w:r>
          </w:p>
        </w:tc>
        <w:tc>
          <w:tcPr>
            <w:tcW w:type="dxa" w:w="2381"/>
            <w:tcMar>
              <w:top w:w="80" w:type="dxa"/>
              <w:start w:w="100" w:type="dxa"/>
              <w:bottom w:w="80" w:type="dxa"/>
              <w:end w:w="100" w:type="dxa"/>
            </w:tcMar>
          </w:tcPr>
          <w:p>
            <w:r>
              <w:rPr>
                <w:sz w:val="18"/>
              </w:rPr>
              <w:t>2 Oct 2026</w:t>
            </w:r>
          </w:p>
        </w:tc>
        <w:tc>
          <w:tcPr>
            <w:tcW w:type="dxa" w:w="2381"/>
            <w:tcMar>
              <w:top w:w="80" w:type="dxa"/>
              <w:start w:w="100" w:type="dxa"/>
              <w:bottom w:w="80" w:type="dxa"/>
              <w:end w:w="100" w:type="dxa"/>
            </w:tcMar>
          </w:tcPr>
          <w:p>
            <w:r>
              <w:rPr>
                <w:sz w:val="18"/>
              </w:rPr>
              <w:t>Discussion draft</w:t>
            </w:r>
          </w:p>
        </w:tc>
        <w:tc>
          <w:tcPr>
            <w:tcW w:type="dxa" w:w="2381"/>
            <w:tcMar>
              <w:top w:w="80" w:type="dxa"/>
              <w:start w:w="100" w:type="dxa"/>
              <w:bottom w:w="80" w:type="dxa"/>
              <w:end w:w="100" w:type="dxa"/>
            </w:tcMar>
          </w:tcPr>
          <w:p>
            <w:r>
              <w:rPr>
                <w:sz w:val="18"/>
              </w:rPr>
              <w:t>Initial physical specification</w:t>
            </w:r>
          </w:p>
        </w:tc>
      </w:tr>
    </w:tbl>
    <w:p>
      <w:pPr>
        <w:pStyle w:val="Heading1"/>
      </w:pPr>
      <w:r>
        <w:t>Table of contents</w:t>
      </w:r>
    </w:p>
    <w:tbl>
      <w:tblPr>
        <w:tblW w:type="auto" w:w="0"/>
        <w:jc w:val="center"/>
        <w:tblLook w:firstColumn="1" w:firstRow="1" w:lastColumn="0" w:lastRow="0" w:noHBand="0" w:noVBand="1" w:val="04A0"/>
      </w:tblPr>
      <w:tblGrid>
        <w:gridCol w:w="4762"/>
        <w:gridCol w:w="4762"/>
      </w:tblGrid>
      <w:tr>
        <w:trPr>
          <w:cantSplit/>
        </w:trPr>
        <w:tc>
          <w:tcPr>
            <w:tcW w:type="dxa" w:w="4762"/>
            <w:tcMar>
              <w:top w:w="65" w:type="dxa"/>
              <w:start w:w="100" w:type="dxa"/>
              <w:bottom w:w="65" w:type="dxa"/>
              <w:end w:w="100" w:type="dxa"/>
            </w:tcMar>
            <w:shd w:fill="EDF4FA"/>
          </w:tcPr>
          <w:p>
            <w:r>
              <w:rPr>
                <w:sz w:val="18"/>
              </w:rPr>
              <w:t>Executive summary</w:t>
            </w:r>
          </w:p>
        </w:tc>
        <w:tc>
          <w:tcPr>
            <w:tcW w:type="dxa" w:w="4762"/>
            <w:tcMar>
              <w:top w:w="65" w:type="dxa"/>
              <w:start w:w="100" w:type="dxa"/>
              <w:bottom w:w="65" w:type="dxa"/>
              <w:end w:w="100" w:type="dxa"/>
            </w:tcMar>
            <w:shd w:fill="EDF4FA"/>
          </w:tcPr>
          <w:p>
            <w:r>
              <w:rPr>
                <w:b/>
                <w:sz w:val="18"/>
              </w:rPr>
              <w:t>8. Numerical method</w:t>
            </w:r>
          </w:p>
        </w:tc>
      </w:tr>
      <w:tr>
        <w:trPr>
          <w:cantSplit/>
        </w:trPr>
        <w:tc>
          <w:tcPr>
            <w:tcW w:type="dxa" w:w="4762"/>
            <w:tcMar>
              <w:top w:w="65" w:type="dxa"/>
              <w:start w:w="100" w:type="dxa"/>
              <w:bottom w:w="65" w:type="dxa"/>
              <w:end w:w="100" w:type="dxa"/>
            </w:tcMar>
          </w:tcPr>
          <w:p>
            <w:r>
              <w:rPr>
                <w:b/>
                <w:sz w:val="18"/>
              </w:rPr>
              <w:t>1. Purpose</w:t>
            </w:r>
          </w:p>
        </w:tc>
        <w:tc>
          <w:tcPr>
            <w:tcW w:type="dxa" w:w="4762"/>
            <w:tcMar>
              <w:top w:w="65" w:type="dxa"/>
              <w:start w:w="100" w:type="dxa"/>
              <w:bottom w:w="65" w:type="dxa"/>
              <w:end w:w="100" w:type="dxa"/>
            </w:tcMar>
          </w:tcPr>
          <w:p>
            <w:r>
              <w:rPr>
                <w:b/>
                <w:sz w:val="18"/>
              </w:rPr>
              <w:t>9. Input architecture</w:t>
            </w:r>
          </w:p>
        </w:tc>
      </w:tr>
      <w:tr>
        <w:trPr>
          <w:cantSplit/>
        </w:trPr>
        <w:tc>
          <w:tcPr>
            <w:tcW w:type="dxa" w:w="4762"/>
            <w:tcMar>
              <w:top w:w="65" w:type="dxa"/>
              <w:start w:w="100" w:type="dxa"/>
              <w:bottom w:w="65" w:type="dxa"/>
              <w:end w:w="100" w:type="dxa"/>
            </w:tcMar>
            <w:shd w:fill="EDF4FA"/>
          </w:tcPr>
          <w:p>
            <w:r>
              <w:rPr>
                <w:b/>
                <w:sz w:val="18"/>
              </w:rPr>
              <w:t>2. Agreed scope and modelling assumptions</w:t>
            </w:r>
          </w:p>
        </w:tc>
        <w:tc>
          <w:tcPr>
            <w:tcW w:type="dxa" w:w="4762"/>
            <w:tcMar>
              <w:top w:w="65" w:type="dxa"/>
              <w:start w:w="100" w:type="dxa"/>
              <w:bottom w:w="65" w:type="dxa"/>
              <w:end w:w="100" w:type="dxa"/>
            </w:tcMar>
            <w:shd w:fill="EDF4FA"/>
          </w:tcPr>
          <w:p>
            <w:r>
              <w:rPr>
                <w:b/>
                <w:sz w:val="18"/>
              </w:rPr>
              <w:t>10. Outputs</w:t>
            </w:r>
          </w:p>
        </w:tc>
      </w:tr>
      <w:tr>
        <w:trPr>
          <w:cantSplit/>
        </w:trPr>
        <w:tc>
          <w:tcPr>
            <w:tcW w:type="dxa" w:w="4762"/>
            <w:tcMar>
              <w:top w:w="65" w:type="dxa"/>
              <w:start w:w="100" w:type="dxa"/>
              <w:bottom w:w="65" w:type="dxa"/>
              <w:end w:w="100" w:type="dxa"/>
            </w:tcMar>
          </w:tcPr>
          <w:p>
            <w:r>
              <w:rPr>
                <w:b/>
                <w:sz w:val="18"/>
              </w:rPr>
              <w:t>3. Physical coordinates and state representation</w:t>
            </w:r>
          </w:p>
        </w:tc>
        <w:tc>
          <w:tcPr>
            <w:tcW w:type="dxa" w:w="4762"/>
            <w:tcMar>
              <w:top w:w="65" w:type="dxa"/>
              <w:start w:w="100" w:type="dxa"/>
              <w:bottom w:w="65" w:type="dxa"/>
              <w:end w:w="100" w:type="dxa"/>
            </w:tcMar>
          </w:tcPr>
          <w:p>
            <w:r>
              <w:rPr>
                <w:b/>
                <w:sz w:val="18"/>
              </w:rPr>
              <w:t>11. Verification, calibration and validation</w:t>
            </w:r>
          </w:p>
        </w:tc>
      </w:tr>
      <w:tr>
        <w:trPr>
          <w:cantSplit/>
        </w:trPr>
        <w:tc>
          <w:tcPr>
            <w:tcW w:type="dxa" w:w="4762"/>
            <w:tcMar>
              <w:top w:w="65" w:type="dxa"/>
              <w:start w:w="100" w:type="dxa"/>
              <w:bottom w:w="65" w:type="dxa"/>
              <w:end w:w="100" w:type="dxa"/>
            </w:tcMar>
            <w:shd w:fill="EDF4FA"/>
          </w:tcPr>
          <w:p>
            <w:r>
              <w:rPr>
                <w:b/>
                <w:sz w:val="18"/>
              </w:rPr>
              <w:t>4. Layout semantics: point devices and extended process zones</w:t>
            </w:r>
          </w:p>
        </w:tc>
        <w:tc>
          <w:tcPr>
            <w:tcW w:type="dxa" w:w="4762"/>
            <w:tcMar>
              <w:top w:w="65" w:type="dxa"/>
              <w:start w:w="100" w:type="dxa"/>
              <w:bottom w:w="65" w:type="dxa"/>
              <w:end w:w="100" w:type="dxa"/>
            </w:tcMar>
            <w:shd w:fill="EDF4FA"/>
          </w:tcPr>
          <w:p>
            <w:r>
              <w:rPr>
                <w:b/>
                <w:sz w:val="18"/>
              </w:rPr>
              <w:t>12. Development sequence</w:t>
            </w:r>
          </w:p>
        </w:tc>
      </w:tr>
      <w:tr>
        <w:trPr>
          <w:cantSplit/>
        </w:trPr>
        <w:tc>
          <w:tcPr>
            <w:tcW w:type="dxa" w:w="4762"/>
            <w:tcMar>
              <w:top w:w="65" w:type="dxa"/>
              <w:start w:w="100" w:type="dxa"/>
              <w:bottom w:w="65" w:type="dxa"/>
              <w:end w:w="100" w:type="dxa"/>
            </w:tcMar>
          </w:tcPr>
          <w:p>
            <w:r>
              <w:rPr>
                <w:b/>
                <w:sz w:val="18"/>
              </w:rPr>
              <w:t>5. Governing energy equation</w:t>
            </w:r>
          </w:p>
        </w:tc>
        <w:tc>
          <w:tcPr>
            <w:tcW w:type="dxa" w:w="4762"/>
            <w:tcMar>
              <w:top w:w="65" w:type="dxa"/>
              <w:start w:w="100" w:type="dxa"/>
              <w:bottom w:w="65" w:type="dxa"/>
              <w:end w:w="100" w:type="dxa"/>
            </w:tcMar>
          </w:tcPr>
          <w:p>
            <w:r>
              <w:rPr>
                <w:b/>
                <w:sz w:val="18"/>
              </w:rPr>
              <w:t>13. Open decisions for the next discussion</w:t>
            </w:r>
          </w:p>
        </w:tc>
      </w:tr>
      <w:tr>
        <w:trPr>
          <w:cantSplit/>
        </w:trPr>
        <w:tc>
          <w:tcPr>
            <w:tcW w:type="dxa" w:w="4762"/>
            <w:tcMar>
              <w:top w:w="65" w:type="dxa"/>
              <w:start w:w="100" w:type="dxa"/>
              <w:bottom w:w="65" w:type="dxa"/>
              <w:end w:w="100" w:type="dxa"/>
            </w:tcMar>
            <w:shd w:fill="EDF4FA"/>
          </w:tcPr>
          <w:p>
            <w:r>
              <w:rPr>
                <w:b/>
                <w:sz w:val="18"/>
              </w:rPr>
              <w:t>6. Physical phenomena</w:t>
            </w:r>
          </w:p>
        </w:tc>
        <w:tc>
          <w:tcPr>
            <w:tcW w:type="dxa" w:w="4762"/>
            <w:tcMar>
              <w:top w:w="65" w:type="dxa"/>
              <w:start w:w="100" w:type="dxa"/>
              <w:bottom w:w="65" w:type="dxa"/>
              <w:end w:w="100" w:type="dxa"/>
            </w:tcMar>
            <w:shd w:fill="EDF4FA"/>
          </w:tcPr>
          <w:p>
            <w:r>
              <w:rPr>
                <w:b/>
                <w:sz w:val="18"/>
              </w:rPr>
              <w:t>14. Nomenclature</w:t>
            </w:r>
          </w:p>
        </w:tc>
      </w:tr>
      <w:tr>
        <w:trPr>
          <w:cantSplit/>
        </w:trPr>
        <w:tc>
          <w:tcPr>
            <w:tcW w:type="dxa" w:w="4762"/>
            <w:tcMar>
              <w:top w:w="65" w:type="dxa"/>
              <w:start w:w="100" w:type="dxa"/>
              <w:bottom w:w="65" w:type="dxa"/>
              <w:end w:w="100" w:type="dxa"/>
            </w:tcMar>
          </w:tcPr>
          <w:p>
            <w:r>
              <w:rPr>
                <w:b/>
                <w:sz w:val="18"/>
              </w:rPr>
              <w:t>7. Material properties</w:t>
            </w:r>
          </w:p>
        </w:tc>
        <w:tc>
          <w:tcPr>
            <w:tcW w:type="dxa" w:w="4762"/>
            <w:tcMar>
              <w:top w:w="65" w:type="dxa"/>
              <w:start w:w="100" w:type="dxa"/>
              <w:bottom w:w="65" w:type="dxa"/>
              <w:end w:w="100" w:type="dxa"/>
            </w:tcMar>
          </w:tcPr>
          <w:p>
            <w:r>
              <w:rPr>
                <w:b/>
                <w:sz w:val="18"/>
              </w:rPr>
              <w:t>15. Selected references</w:t>
            </w:r>
          </w:p>
        </w:tc>
      </w:tr>
    </w:tbl>
    <w:p>
      <w:r>
        <w:br w:type="page"/>
      </w:r>
    </w:p>
    <w:p>
      <w:pPr>
        <w:pStyle w:val="Heading1"/>
      </w:pPr>
      <w:r>
        <w:t>Executive summary</w:t>
      </w:r>
    </w:p>
    <w:p>
      <w:r>
        <w:t>The thermal model shall predict the temperature history of steel during hot rolling by combining the existing exact kinematic solution with a Lagrangian, one-dimensional heat-conduction model through the thickness. Several material cross-sections shall be followed along the strip, so the model can represent head-to-tail temperature differences while resolving surface, centre and mean temperatures at each cross-section.</w:t>
      </w:r>
    </w:p>
    <w:p>
      <w:r>
        <w:t>The first useful scope starts at furnace discharge and ends at the finishing-mill exit. It includes ambient radiation and convection, deformation heating, heat transfer to the work rolls, descaling, interstand cooling, induction heating and a deliberately simplified coilbox. Run-out-table cooling, phase-transformation kinetics and closed-loop process control are deferred.</w:t>
      </w:r>
    </w:p>
    <w:p>
      <w:r>
        <w:t>The model is open loop. It evaluates the prescribed rolling schedule and does not alter speed, pacing or device commands. Pacing remains an auxiliary analysis built on the same kinematic engine. Future optimisation may modify a schedule outside the event loop, rerun the kinematics and then rerun the thermal calculation.</w:t>
      </w:r>
    </w:p>
    <w:p>
      <w:pPr>
        <w:pStyle w:val="Heading1"/>
      </w:pPr>
      <w:r>
        <w:t>1. Purpose</w:t>
      </w:r>
    </w:p>
    <w:p>
      <w:r>
        <w:t>This document establishes a common physical basis for discussion before thermal software is designed. It defines:</w:t>
      </w:r>
    </w:p>
    <w:p>
      <w:pPr>
        <w:pStyle w:val="ListBullet"/>
      </w:pPr>
      <w:r>
        <w:t>the state variables and governing energy equation;</w:t>
      </w:r>
    </w:p>
    <w:p>
      <w:pPr>
        <w:pStyle w:val="ListBullet"/>
      </w:pPr>
      <w:r>
        <w:t>the coupling with the existing kinematic model;</w:t>
      </w:r>
    </w:p>
    <w:p>
      <w:pPr>
        <w:pStyle w:val="ListBullet"/>
      </w:pPr>
      <w:r>
        <w:t>the physical treatment of rolling stands, water cooling, induction heating and the coilbox;</w:t>
      </w:r>
    </w:p>
    <w:p>
      <w:pPr>
        <w:pStyle w:val="ListBullet"/>
      </w:pPr>
      <w:r>
        <w:t>the distinction between point devices and devices with spatial extent;</w:t>
      </w:r>
    </w:p>
    <w:p>
      <w:pPr>
        <w:pStyle w:val="ListBullet"/>
      </w:pPr>
      <w:r>
        <w:t>material-property requirements;</w:t>
      </w:r>
    </w:p>
    <w:p>
      <w:pPr>
        <w:pStyle w:val="ListBullet"/>
      </w:pPr>
      <w:r>
        <w:t>input, output, numerical and validation expectations;</w:t>
      </w:r>
    </w:p>
    <w:p>
      <w:pPr>
        <w:pStyle w:val="ListBullet"/>
      </w:pPr>
      <w:r>
        <w:t>the limits of the initial model and the intended development sequence.</w:t>
      </w:r>
    </w:p>
    <w:p>
      <w:r>
        <w:t>It does not freeze the data schema, numerical mesh or empirical correlations. Those choices require a data audit and validation against plant observations.</w:t>
      </w:r>
    </w:p>
    <w:p>
      <w:pPr>
        <w:pStyle w:val="Heading1"/>
      </w:pPr>
      <w:r>
        <w:t>2. Agreed scope and modelling assumptions</w:t>
      </w:r>
    </w:p>
    <w:p>
      <w:pPr>
        <w:pStyle w:val="Heading2"/>
      </w:pPr>
      <w:r>
        <w:t>2.1 Initial scope</w:t>
      </w:r>
    </w:p>
    <w:p>
      <w:r>
        <w:t>The initial thermal model shall:</w:t>
      </w:r>
    </w:p>
    <w:p>
      <w:pPr>
        <w:ind w:left="369" w:hanging="255"/>
      </w:pPr>
      <w:r>
        <w:rPr>
          <w:b/>
        </w:rPr>
        <w:t xml:space="preserve">1. </w:t>
      </w:r>
      <w:r>
        <w:t>start from an input temperature at furnace discharge;</w:t>
      </w:r>
    </w:p>
    <w:p>
      <w:pPr>
        <w:ind w:left="369" w:hanging="255"/>
      </w:pPr>
      <w:r>
        <w:rPr>
          <w:b/>
        </w:rPr>
        <w:t xml:space="preserve">2. </w:t>
      </w:r>
      <w:r>
        <w:t>follow multiple Lagrangian material cross-sections from head to tail;</w:t>
      </w:r>
    </w:p>
    <w:p>
      <w:pPr>
        <w:ind w:left="369" w:hanging="255"/>
      </w:pPr>
      <w:r>
        <w:rPr>
          <w:b/>
        </w:rPr>
        <w:t xml:space="preserve">3. </w:t>
      </w:r>
      <w:r>
        <w:t>solve the temperature profile through the thickness at each cross-section;</w:t>
      </w:r>
    </w:p>
    <w:p>
      <w:pPr>
        <w:ind w:left="369" w:hanging="255"/>
      </w:pPr>
      <w:r>
        <w:rPr>
          <w:b/>
        </w:rPr>
        <w:t xml:space="preserve">4. </w:t>
      </w:r>
      <w:r>
        <w:t>include radiation and convection to the environment;</w:t>
      </w:r>
    </w:p>
    <w:p>
      <w:pPr>
        <w:ind w:left="369" w:hanging="255"/>
      </w:pPr>
      <w:r>
        <w:rPr>
          <w:b/>
        </w:rPr>
        <w:t xml:space="preserve">5. </w:t>
      </w:r>
      <w:r>
        <w:t>include roll-contact cooling and heat generated by plastic deformation;</w:t>
      </w:r>
    </w:p>
    <w:p>
      <w:pPr>
        <w:ind w:left="369" w:hanging="255"/>
      </w:pPr>
      <w:r>
        <w:rPr>
          <w:b/>
        </w:rPr>
        <w:t xml:space="preserve">6. </w:t>
      </w:r>
      <w:r>
        <w:t>include descaling and interstand water cooling from the first physically useful version;</w:t>
      </w:r>
    </w:p>
    <w:p>
      <w:pPr>
        <w:ind w:left="369" w:hanging="255"/>
      </w:pPr>
      <w:r>
        <w:rPr>
          <w:b/>
        </w:rPr>
        <w:t xml:space="preserve">7. </w:t>
      </w:r>
      <w:r>
        <w:t>include volumetric heat generation for induction heating;</w:t>
      </w:r>
    </w:p>
    <w:p>
      <w:pPr>
        <w:ind w:left="369" w:hanging="255"/>
      </w:pPr>
      <w:r>
        <w:rPr>
          <w:b/>
        </w:rPr>
        <w:t xml:space="preserve">8. </w:t>
      </w:r>
      <w:r>
        <w:t>use a simplified, calibratable heat-loss model while material is stored in the coilbox;</w:t>
      </w:r>
    </w:p>
    <w:p>
      <w:pPr>
        <w:ind w:left="369" w:hanging="255"/>
      </w:pPr>
      <w:r>
        <w:rPr>
          <w:b/>
        </w:rPr>
        <w:t xml:space="preserve">9. </w:t>
      </w:r>
      <w:r>
        <w:t>report temperature immediately upstream and downstream of every process device;</w:t>
      </w:r>
    </w:p>
    <w:p>
      <w:pPr>
        <w:ind w:left="369" w:hanging="255"/>
      </w:pPr>
      <w:r>
        <w:rPr>
          <w:b/>
        </w:rPr>
        <w:t xml:space="preserve">10. </w:t>
      </w:r>
      <w:r>
        <w:t>support explicit temperature targets or overrides without presenting them as unconstrained physical predictions;</w:t>
      </w:r>
    </w:p>
    <w:p>
      <w:pPr>
        <w:ind w:left="369" w:hanging="255"/>
      </w:pPr>
      <w:r>
        <w:rPr>
          <w:b/>
        </w:rPr>
        <w:t xml:space="preserve">11. </w:t>
      </w:r>
      <w:r>
        <w:t>remain a post-processor of the prescribed kinematic history.</w:t>
      </w:r>
    </w:p>
    <w:p>
      <w:pPr>
        <w:pStyle w:val="Heading2"/>
      </w:pPr>
      <w:r>
        <w:t>2.2 Deferred scope</w:t>
      </w:r>
    </w:p>
    <w:p>
      <w:r>
        <w:t>The following are deferred:</w:t>
      </w:r>
    </w:p>
    <w:p>
      <w:pPr>
        <w:pStyle w:val="ListBullet"/>
      </w:pPr>
      <w:r>
        <w:t>run-out-table cooling and coiling-temperature prediction;</w:t>
      </w:r>
    </w:p>
    <w:p>
      <w:pPr>
        <w:pStyle w:val="ListBullet"/>
      </w:pPr>
      <w:r>
        <w:t>a detailed electromagnetic model of an inductor, its coil and power converter;</w:t>
      </w:r>
    </w:p>
    <w:p>
      <w:pPr>
        <w:pStyle w:val="ListBullet"/>
      </w:pPr>
      <w:r>
        <w:t>detailed layer-to-layer conduction and geometry inside a coilbox;</w:t>
      </w:r>
    </w:p>
    <w:p>
      <w:pPr>
        <w:pStyle w:val="ListBullet"/>
      </w:pPr>
      <w:r>
        <w:t>phase-transformation kinetics and latent heat during run-out-table cooling;</w:t>
      </w:r>
    </w:p>
    <w:p>
      <w:pPr>
        <w:pStyle w:val="ListBullet"/>
      </w:pPr>
      <w:r>
        <w:t>widthwise and edge-temperature variation;</w:t>
      </w:r>
    </w:p>
    <w:p>
      <w:pPr>
        <w:pStyle w:val="ListBullet"/>
      </w:pPr>
      <w:r>
        <w:t>scale-growth kinetics as an independent state model;</w:t>
      </w:r>
    </w:p>
    <w:p>
      <w:pPr>
        <w:pStyle w:val="ListBullet"/>
      </w:pPr>
      <w:r>
        <w:t>thermally driven speed control, hold logic and closed-loop pacing;</w:t>
      </w:r>
    </w:p>
    <w:p>
      <w:pPr>
        <w:pStyle w:val="ListBullet"/>
      </w:pPr>
      <w:r>
        <w:t>automatic schedule optimisation;</w:t>
      </w:r>
    </w:p>
    <w:p>
      <w:pPr>
        <w:pStyle w:val="ListBullet"/>
      </w:pPr>
      <w:r>
        <w:t>a fully coupled mechanical model for roll force, torque and plastic work.</w:t>
      </w:r>
    </w:p>
    <w:p>
      <w:pPr>
        <w:pStyle w:val="Heading2"/>
      </w:pPr>
      <w:r>
        <w:t>2.3 Consequence of open-loop operation</w:t>
      </w:r>
    </w:p>
    <w:p>
      <w:r>
        <w:t>In the current kinematic model, changing pacing translates the release time of a piece but does not change that piece's residence times, speed history or waits. Therefore it does not change the predicted temperature history. The thermal model initially answers:</w:t>
      </w:r>
    </w:p>
    <w:p>
      <w:pPr>
        <w:pStyle w:val="Quote"/>
      </w:pPr>
      <w:r>
        <w:t>Is this prescribed rolling schedule thermally acceptable?</w:t>
      </w:r>
    </w:p>
    <w:p>
      <w:r>
        <w:t>It does not initially answer:</w:t>
      </w:r>
    </w:p>
    <w:p>
      <w:pPr>
        <w:pStyle w:val="Quote"/>
      </w:pPr>
      <w:r>
        <w:t>Which pacing or speed schedule should the controller choose?</w:t>
      </w:r>
    </w:p>
    <w:p>
      <w:r>
        <w:t>The second question belongs to a future outer optimisation or control layer.</w:t>
      </w:r>
    </w:p>
    <w:p>
      <w:pPr>
        <w:pStyle w:val="Heading1"/>
      </w:pPr>
      <w:r>
        <w:t>3. Physical coordinates and state representation</w:t>
      </w:r>
    </w:p>
    <w:p>
      <w:pPr>
        <w:pStyle w:val="Heading2"/>
      </w:pPr>
      <w:r>
        <w:t>3.1 Lagrangian coordinate along the material</w:t>
      </w:r>
    </w:p>
    <w:p>
      <w:r>
        <w:t xml:space="preserve">Each product shall be represented by material cross-sections identified by a conserved material coordinate </w:t>
      </w:r>
      <w:r>
        <w:rPr>
          <w:rFonts w:ascii="Cambria Math" w:hAnsi="Cambria Math" w:eastAsia="Cambria Math"/>
          <w:sz w:val="21"/>
        </w:rPr>
        <w:t>s</w:t>
      </w:r>
      <w:r>
        <w:t>, preferably a normalised mass or initial-length coordinate:</w:t>
      </w:r>
    </w:p>
    <w:p>
      <w:pPr>
        <w:spacing w:before="100" w:after="140"/>
        <w:jc w:val="center"/>
      </w:pPr>
      <m:oMathPara>
        <m:oMathParaPr>
          <m:jc m:val="center"/>
        </m:oMathParaPr>
        <m:oMath>
          <m:r>
            <m:t>0 ≤ s ≤ 1</m:t>
          </m:r>
        </m:oMath>
      </m:oMathPara>
    </w:p>
    <w:p>
      <w:r>
        <w:t xml:space="preserve">The value </w:t>
      </w:r>
      <w:r>
        <w:rPr>
          <w:rFonts w:ascii="Cambria Math" w:hAnsi="Cambria Math" w:eastAsia="Cambria Math"/>
          <w:sz w:val="21"/>
        </w:rPr>
        <w:t>s=0</w:t>
      </w:r>
      <w:r>
        <w:t xml:space="preserve"> identifies one original slab end and </w:t>
      </w:r>
      <w:r>
        <w:rPr>
          <w:rFonts w:ascii="Cambria Math" w:hAnsi="Cambria Math" w:eastAsia="Cambria Math"/>
          <w:sz w:val="21"/>
        </w:rPr>
        <w:t>s=1</w:t>
      </w:r>
      <w:r>
        <w:t xml:space="preserve"> the other. The identity of a cross-section must survive elongation, reversing passes and coilbox inversion. A cross-section is not identified merely by a fixed fraction of the instantaneous geometric distance between head and tail.</w:t>
      </w:r>
    </w:p>
    <w:p>
      <w:r>
        <w:t>The initial model should support at least head, centre and tail sections. A production model should use a configurable set, for example 11 or 21 sections, with optional local refinement near the ends.</w:t>
      </w:r>
    </w:p>
    <w:p>
      <w:pPr>
        <w:pStyle w:val="Heading2"/>
      </w:pPr>
      <w:r>
        <w:t>3.2 Coordinate through the thickness</w:t>
      </w:r>
    </w:p>
    <w:p>
      <w:r>
        <w:t>At every material cross-section, heat conduction is solved through half or all of the local thickness. For asymmetric upper and lower cooling, the full thickness is required. Define:</w:t>
      </w:r>
    </w:p>
    <w:p>
      <w:pPr>
        <w:spacing w:before="100" w:after="140"/>
        <w:jc w:val="center"/>
      </w:pPr>
      <m:oMathPara>
        <m:oMathParaPr>
          <m:jc m:val="center"/>
        </m:oMathParaPr>
        <m:oMath>
          <m:r>
            <m:t>-H(s,t)/2 ≤ z ≤ H(s,t)/2</m:t>
          </m:r>
        </m:oMath>
      </m:oMathPara>
    </w:p>
    <w:p>
      <w:r>
        <w:t>or a normalised coordinate:</w:t>
      </w:r>
    </w:p>
    <w:p>
      <w:pPr>
        <w:spacing w:before="100" w:after="140"/>
        <w:jc w:val="center"/>
      </w:pPr>
      <m:oMathPara>
        <m:oMathParaPr>
          <m:jc m:val="center"/>
        </m:oMathParaPr>
        <m:oMath>
          <m:r>
            <m:t>η = 2z/H(s,t), -1 ≤ η ≤ 1</m:t>
          </m:r>
        </m:oMath>
      </m:oMathPara>
    </w:p>
    <w:p>
      <w:r>
        <w:t xml:space="preserve">The thermal state is </w:t>
      </w:r>
      <w:r>
        <w:rPr>
          <w:rFonts w:ascii="Cambria Math" w:hAnsi="Cambria Math" w:eastAsia="Cambria Math"/>
          <w:sz w:val="21"/>
        </w:rPr>
        <w:t>T(s,η,t)</w:t>
      </w:r>
      <w:r>
        <w:t>, supplemented by temperature-dependent material properties and, in later phases, phase fractions or scale thickness.</w:t>
      </w:r>
    </w:p>
    <w:p>
      <w:pPr>
        <w:pStyle w:val="Heading2"/>
      </w:pPr>
      <w:r>
        <w:t>3.3 Geometry supplied by the kinematic solution</w:t>
      </w:r>
    </w:p>
    <w:p>
      <w:r>
        <w:t>For every material cross-section, the kinematic model supplies or allows reconstruction of:</w:t>
      </w:r>
    </w:p>
    <w:p>
      <w:pPr>
        <w:pStyle w:val="ListBullet"/>
      </w:pPr>
      <w:r>
        <w:t xml:space="preserve">longitudinal position </w:t>
      </w:r>
      <w:r>
        <w:rPr>
          <w:rFonts w:ascii="Cambria Math" w:hAnsi="Cambria Math" w:eastAsia="Cambria Math"/>
          <w:sz w:val="21"/>
        </w:rPr>
        <w:t>x(s,t)</w:t>
      </w:r>
      <w:r>
        <w:t>;</w:t>
      </w:r>
    </w:p>
    <w:p>
      <w:pPr>
        <w:pStyle w:val="ListBullet"/>
      </w:pPr>
      <w:r>
        <w:t xml:space="preserve">velocity </w:t>
      </w:r>
      <w:r>
        <w:rPr>
          <w:rFonts w:ascii="Cambria Math" w:hAnsi="Cambria Math" w:eastAsia="Cambria Math"/>
          <w:sz w:val="21"/>
        </w:rPr>
        <w:t>v(s,t)</w:t>
      </w:r>
      <w:r>
        <w:t>;</w:t>
      </w:r>
    </w:p>
    <w:p>
      <w:pPr>
        <w:pStyle w:val="ListBullet"/>
      </w:pPr>
      <w:r>
        <w:t>local thickness and width before and after every pass;</w:t>
      </w:r>
    </w:p>
    <w:p>
      <w:pPr>
        <w:pStyle w:val="ListBullet"/>
      </w:pPr>
      <w:r>
        <w:t>bite, tail-out, reversal and coilbox event times;</w:t>
      </w:r>
    </w:p>
    <w:p>
      <w:pPr>
        <w:pStyle w:val="ListBullet"/>
      </w:pPr>
      <w:r>
        <w:t>residence time in every spatial process zone.</w:t>
      </w:r>
    </w:p>
    <w:p>
      <w:r>
        <w:t>Thermal calculations shall not modify these quantities in the initial open-loop model.</w:t>
      </w:r>
    </w:p>
    <w:p>
      <w:pPr>
        <w:pStyle w:val="Heading1"/>
      </w:pPr>
      <w:r>
        <w:t>4. Layout semantics: point devices and extended process zones</w:t>
      </w:r>
    </w:p>
    <w:p>
      <w:pPr>
        <w:pStyle w:val="Heading2"/>
      </w:pPr>
      <w:r>
        <w:t>4.1 Problem with a single device coordinate</w:t>
      </w:r>
    </w:p>
    <w:p>
      <w:r>
        <w:t>A rolling stand is naturally represented by its roll axis at one coordinate. An induction heater, descaler or cooling bank is not: it has a physical inlet, outlet and residence time. Representing such a device by a point placed at its outlet hides its length and creates ambiguous entry/exit semantics.</w:t>
      </w:r>
    </w:p>
    <w:p>
      <w:pPr>
        <w:pStyle w:val="Heading2"/>
      </w:pPr>
      <w:r>
        <w:t>4.2 Recommended geometric model</w:t>
      </w:r>
    </w:p>
    <w:p>
      <w:r>
        <w:t>The domain model should distinguish:</w:t>
      </w:r>
    </w:p>
    <w:p>
      <w:r>
        <w:rPr>
          <w:b/>
        </w:rPr>
        <w:t>Point device</w:t>
      </w:r>
    </w:p>
    <w:p>
      <w:pPr>
        <w:pStyle w:val="ListBullet"/>
      </w:pPr>
      <w:r>
        <w:t xml:space="preserve">defined by an axis or event coordinate </w:t>
      </w:r>
      <w:r>
        <w:rPr>
          <w:rFonts w:ascii="Cambria Math" w:hAnsi="Cambria Math" w:eastAsia="Cambria Math"/>
          <w:sz w:val="21"/>
        </w:rPr>
        <w:t>x_axis</w:t>
      </w:r>
      <w:r>
        <w:t>;</w:t>
      </w:r>
    </w:p>
    <w:p>
      <w:pPr>
        <w:pStyle w:val="ListBullet"/>
      </w:pPr>
      <w:r>
        <w:t>appropriate for a stand bite, shear or observation station;</w:t>
      </w:r>
    </w:p>
    <w:p>
      <w:pPr>
        <w:pStyle w:val="ListBullet"/>
      </w:pPr>
      <w:r>
        <w:t>may transform the thermal state immediately before and after an event.</w:t>
      </w:r>
    </w:p>
    <w:p>
      <w:r>
        <w:rPr>
          <w:b/>
        </w:rPr>
        <w:t>Process zone</w:t>
      </w:r>
    </w:p>
    <w:p>
      <w:pPr>
        <w:pStyle w:val="ListBullet"/>
      </w:pPr>
      <w:r>
        <w:t xml:space="preserve">defined explicitly by </w:t>
      </w:r>
      <w:r>
        <w:rPr>
          <w:rFonts w:ascii="Cambria Math" w:hAnsi="Cambria Math" w:eastAsia="Cambria Math"/>
          <w:sz w:val="21"/>
        </w:rPr>
        <w:t>x_in</w:t>
      </w:r>
      <w:r>
        <w:t xml:space="preserve"> and </w:t>
      </w:r>
      <w:r>
        <w:rPr>
          <w:rFonts w:ascii="Cambria Math" w:hAnsi="Cambria Math" w:eastAsia="Cambria Math"/>
          <w:sz w:val="21"/>
        </w:rPr>
        <w:t>x_out</w:t>
      </w:r>
      <w:r>
        <w:t>;</w:t>
      </w:r>
    </w:p>
    <w:p>
      <w:pPr>
        <w:pStyle w:val="ListBullet"/>
      </w:pPr>
      <w:r>
        <w:t>may act on the upper surface, lower surface or volume;</w:t>
      </w:r>
    </w:p>
    <w:p>
      <w:pPr>
        <w:pStyle w:val="ListBullet"/>
      </w:pPr>
      <w:r>
        <w:t>appropriate for induction heaters, descalers, interstand sprays, passive panels and future run-out-table cooling;</w:t>
      </w:r>
    </w:p>
    <w:p>
      <w:pPr>
        <w:pStyle w:val="ListBullet"/>
      </w:pPr>
      <w:r>
        <w:t>acts for the actual time each material cross-section spends between its boundaries.</w:t>
      </w:r>
    </w:p>
    <w:p>
      <w:r>
        <w:t>A physical assembly may contain both. For example, a stand has an axis coordinate and a finite roll-contact interval derived from roll-bite geometry.</w:t>
      </w:r>
    </w:p>
    <w:p>
      <w:pPr>
        <w:pStyle w:val="Heading2"/>
      </w:pPr>
      <w:r>
        <w:t>4.3 Shared geometry, separate meanings</w:t>
      </w:r>
    </w:p>
    <w:p>
      <w:r>
        <w:t>Occupancy footprint, thermal process extent and collision clearance are related but not identical. They should use a shared spatial-extent primitive where convenient, but one must not silently stand in for another:</w:t>
      </w:r>
    </w:p>
    <w:p>
      <w:pPr>
        <w:pStyle w:val="ListBullet"/>
      </w:pPr>
      <w:r>
        <w:t>occupancy extent answers when a resource is unavailable;</w:t>
      </w:r>
    </w:p>
    <w:p>
      <w:pPr>
        <w:pStyle w:val="ListBullet"/>
      </w:pPr>
      <w:r>
        <w:t>thermal extent answers where a heat-transfer law applies;</w:t>
      </w:r>
    </w:p>
    <w:p>
      <w:pPr>
        <w:pStyle w:val="ListBullet"/>
      </w:pPr>
      <w:r>
        <w:t>safety clearance answers where another piece or device is prohibited.</w:t>
      </w:r>
    </w:p>
    <w:p>
      <w:r>
        <w:t>The descaler experience in P2 supports this separation.</w:t>
      </w:r>
    </w:p>
    <w:p>
      <w:pPr>
        <w:pStyle w:val="Heading2"/>
      </w:pPr>
      <w:r>
        <w:t>4.4 Observation points</w:t>
      </w:r>
    </w:p>
    <w:p>
      <w:r>
        <w:t>The solver shall be able to report temperature at the inlet and outlet of every device without adding fake equipment. Optional observation stations may later be introduced as explicit, zero-length probes, but they are not required to obtain temperatures at arbitrary coordinates.</w:t>
      </w:r>
    </w:p>
    <w:p>
      <w:pPr>
        <w:pStyle w:val="Heading1"/>
      </w:pPr>
      <w:r>
        <w:t>5. Governing energy equation</w:t>
      </w:r>
    </w:p>
    <w:p>
      <w:pPr>
        <w:pStyle w:val="Heading2"/>
      </w:pPr>
      <w:r>
        <w:t>5.1 Enthalpy formulation</w:t>
      </w:r>
    </w:p>
    <w:p>
      <w:r>
        <w:t>At each Lagrangian cross-section, the preferred one-dimensional formulation is:</w:t>
      </w:r>
    </w:p>
    <w:p>
      <w:pPr>
        <w:spacing w:before="100" w:after="140"/>
        <w:jc w:val="center"/>
      </w:pPr>
      <m:oMathPara>
        <m:oMathParaPr>
          <m:jc m:val="center"/>
        </m:oMathParaPr>
        <m:oMath>
          <m:r>
            <m:t>ρ(T,χ) ∂h(T,χ)/∂t = ∂/∂z [ k(T,χ) ∂T/∂z ] + q̇'''_gen + q̇'''_def</m:t>
          </m:r>
        </m:oMath>
      </m:oMathPara>
    </w:p>
    <w:p>
      <w:r>
        <w:t>where:</w:t>
      </w:r>
    </w:p>
    <w:p>
      <w:pPr>
        <w:pStyle w:val="ListBullet"/>
      </w:pPr>
      <w:r>
        <w:rPr>
          <w:rFonts w:ascii="Cambria Math" w:hAnsi="Cambria Math" w:eastAsia="Cambria Math"/>
          <w:sz w:val="21"/>
        </w:rPr>
        <w:t>T</w:t>
      </w:r>
      <w:r>
        <w:t xml:space="preserve"> is temperature [K or °C differences];</w:t>
      </w:r>
    </w:p>
    <w:p>
      <w:pPr>
        <w:pStyle w:val="ListBullet"/>
      </w:pPr>
      <w:r>
        <w:rPr>
          <w:rFonts w:ascii="Cambria Math" w:hAnsi="Cambria Math" w:eastAsia="Cambria Math"/>
          <w:sz w:val="21"/>
        </w:rPr>
        <w:t>h</w:t>
      </w:r>
      <w:r>
        <w:t xml:space="preserve"> is specific enthalpy [J/kg];</w:t>
      </w:r>
    </w:p>
    <w:p>
      <w:pPr>
        <w:pStyle w:val="ListBullet"/>
      </w:pPr>
      <w:r>
        <w:rPr>
          <w:rFonts w:ascii="Cambria Math" w:hAnsi="Cambria Math" w:eastAsia="Cambria Math"/>
          <w:sz w:val="21"/>
        </w:rPr>
        <w:t>ρ</w:t>
      </w:r>
      <w:r>
        <w:t xml:space="preserve"> is density [kg/m³];</w:t>
      </w:r>
    </w:p>
    <w:p>
      <w:pPr>
        <w:pStyle w:val="ListBullet"/>
      </w:pPr>
      <w:r>
        <w:rPr>
          <w:rFonts w:ascii="Cambria Math" w:hAnsi="Cambria Math" w:eastAsia="Cambria Math"/>
          <w:sz w:val="21"/>
        </w:rPr>
        <w:t>k</w:t>
      </w:r>
      <w:r>
        <w:t xml:space="preserve"> is thermal conductivity [W/(m·K)];</w:t>
      </w:r>
    </w:p>
    <w:p>
      <w:pPr>
        <w:pStyle w:val="ListBullet"/>
      </w:pPr>
      <w:r>
        <w:rPr>
          <w:rFonts w:ascii="Cambria Math" w:hAnsi="Cambria Math" w:eastAsia="Cambria Math"/>
          <w:sz w:val="21"/>
        </w:rPr>
        <w:t>χ</w:t>
      </w:r>
      <w:r>
        <w:t xml:space="preserve"> denotes material or phase state;</w:t>
      </w:r>
    </w:p>
    <w:p>
      <w:pPr>
        <w:pStyle w:val="ListBullet"/>
      </w:pPr>
      <w:r>
        <w:rPr>
          <w:rFonts w:ascii="Cambria Math" w:hAnsi="Cambria Math" w:eastAsia="Cambria Math"/>
          <w:sz w:val="21"/>
        </w:rPr>
        <w:t>q̇'''_gen</w:t>
      </w:r>
      <w:r>
        <w:t xml:space="preserve"> is an imposed volumetric source, including induction heating [W/m³];</w:t>
      </w:r>
    </w:p>
    <w:p>
      <w:pPr>
        <w:pStyle w:val="ListBullet"/>
      </w:pPr>
      <w:r>
        <w:rPr>
          <w:rFonts w:ascii="Cambria Math" w:hAnsi="Cambria Math" w:eastAsia="Cambria Math"/>
          <w:sz w:val="21"/>
        </w:rPr>
        <w:t>q̇'''_def</w:t>
      </w:r>
      <w:r>
        <w:t xml:space="preserve"> is heat generated by plastic deformation [W/m³].</w:t>
      </w:r>
    </w:p>
    <w:p>
      <w:r>
        <w:t>An enthalpy formulation is preferred to a constant-</w:t>
      </w:r>
      <w:r>
        <w:rPr>
          <w:rFonts w:ascii="Cambria Math" w:hAnsi="Cambria Math" w:eastAsia="Cambria Math"/>
          <w:sz w:val="21"/>
        </w:rPr>
        <w:t>c_p</w:t>
      </w:r>
      <w:r>
        <w:t xml:space="preserve"> equation because it handles strongly temperature-dependent heat capacity and provides a clean future route for latent heat and phase transformations.</w:t>
      </w:r>
    </w:p>
    <w:p>
      <w:pPr>
        <w:pStyle w:val="Heading2"/>
      </w:pPr>
      <w:r>
        <w:t>5.2 Surface boundary conditions</w:t>
      </w:r>
    </w:p>
    <w:p>
      <w:r>
        <w:t>At the upper and lower surfaces, the net outward heat flux is assembled from the active phenomena:</w:t>
      </w:r>
    </w:p>
    <w:p>
      <w:pPr>
        <w:spacing w:before="100" w:after="140"/>
        <w:jc w:val="center"/>
      </w:pPr>
      <m:oMathPara>
        <m:oMathParaPr>
          <m:jc m:val="center"/>
        </m:oMathParaPr>
        <m:oMath>
          <m:r>
            <m:t>q''_out = ε σ (T_s^4-T_sur^4) + h_air(T_s-T_air) + q''_water + q''_roll + q''_other</m:t>
          </m:r>
        </m:oMath>
      </m:oMathPara>
    </w:p>
    <w:p>
      <w:r>
        <w:t>Upper and lower boundary conditions shall be independent. This is necessary for asymmetric spray headers, contact conditions and induction configurations.</w:t>
      </w:r>
    </w:p>
    <w:p>
      <w:r>
        <w:t>Sign conventions must be fixed in the implementation specification. The source terms in the volume are positive when they add energy; the terms above are written as positive outward losses.</w:t>
      </w:r>
    </w:p>
    <w:p>
      <w:pPr>
        <w:pStyle w:val="Heading2"/>
      </w:pPr>
      <w:r>
        <w:t>5.3 Geometry change at a rolling pass</w:t>
      </w:r>
    </w:p>
    <w:p>
      <w:r>
        <w:t xml:space="preserve">When thickness changes from </w:t>
      </w:r>
      <w:r>
        <w:rPr>
          <w:rFonts w:ascii="Cambria Math" w:hAnsi="Cambria Math" w:eastAsia="Cambria Math"/>
          <w:sz w:val="21"/>
        </w:rPr>
        <w:t>H_in</w:t>
      </w:r>
      <w:r>
        <w:t xml:space="preserve"> to </w:t>
      </w:r>
      <w:r>
        <w:rPr>
          <w:rFonts w:ascii="Cambria Math" w:hAnsi="Cambria Math" w:eastAsia="Cambria Math"/>
          <w:sz w:val="21"/>
        </w:rPr>
        <w:t>H_out</w:t>
      </w:r>
      <w:r>
        <w:t xml:space="preserve">, the temperature or enthalpy field shall be conservatively remapped in the normalised coordinate </w:t>
      </w:r>
      <w:r>
        <w:rPr>
          <w:rFonts w:ascii="Cambria Math" w:hAnsi="Cambria Math" w:eastAsia="Cambria Math"/>
          <w:sz w:val="21"/>
        </w:rPr>
        <w:t>η</w:t>
      </w:r>
      <w:r>
        <w:t>. In the absence of deformation heating and roll heat transfer, this remapping must preserve cross-sectional enthalpy.</w:t>
      </w:r>
    </w:p>
    <w:p>
      <w:r>
        <w:t>Width and length changes follow the mass-conserving rolling schedule already used by the kinematic engine. Widthwise conduction is neglected in the initial model.</w:t>
      </w:r>
    </w:p>
    <w:p>
      <w:pPr>
        <w:pStyle w:val="Heading1"/>
      </w:pPr>
      <w:r>
        <w:t>6. Physical phenomena</w:t>
      </w:r>
    </w:p>
    <w:p>
      <w:pPr>
        <w:pStyle w:val="Heading2"/>
      </w:pPr>
      <w:r>
        <w:t>6.1 Air cooling</w:t>
      </w:r>
    </w:p>
    <w:p>
      <w:r>
        <w:t>Between active devices, both strip surfaces exchange heat by:</w:t>
      </w:r>
    </w:p>
    <w:p>
      <w:pPr>
        <w:pStyle w:val="ListBullet"/>
      </w:pPr>
      <w:r>
        <w:t>thermal radiation to an effective surrounding temperature;</w:t>
      </w:r>
    </w:p>
    <w:p>
      <w:pPr>
        <w:pStyle w:val="ListBullet"/>
      </w:pPr>
      <w:r>
        <w:t>natural or forced convection to ambient air.</w:t>
      </w:r>
    </w:p>
    <w:p>
      <w:r>
        <w:t>Radiation should use surface temperature and absolute temperature:</w:t>
      </w:r>
    </w:p>
    <w:p>
      <w:pPr>
        <w:spacing w:before="100" w:after="140"/>
        <w:jc w:val="center"/>
      </w:pPr>
      <m:oMathPara>
        <m:oMathParaPr>
          <m:jc m:val="center"/>
        </m:oMathParaPr>
        <m:oMath>
          <m:r>
            <m:t>q''_rad = ε σ (T_s^4-T_sur^4)</m:t>
          </m:r>
        </m:oMath>
      </m:oMathPara>
    </w:p>
    <w:p>
      <w:r>
        <w:t>Emissivity is a surface-condition parameter, not solely a bulk material property. Oxide condition and descaling history may require plant- or zone-specific values.</w:t>
      </w:r>
    </w:p>
    <w:p>
      <w:pPr>
        <w:pStyle w:val="Heading2"/>
      </w:pPr>
      <w:r>
        <w:t>6.2 Rolling stands</w:t>
      </w:r>
    </w:p>
    <w:p>
      <w:r>
        <w:t>Each pass includes two competing effects:</w:t>
      </w:r>
    </w:p>
    <w:p>
      <w:pPr>
        <w:ind w:left="369" w:hanging="255"/>
      </w:pPr>
      <w:r>
        <w:rPr>
          <w:b/>
        </w:rPr>
        <w:t xml:space="preserve">1. </w:t>
      </w:r>
      <w:r>
        <w:t>heat generation from plastic work and friction;</w:t>
      </w:r>
    </w:p>
    <w:p>
      <w:pPr>
        <w:ind w:left="369" w:hanging="255"/>
      </w:pPr>
      <w:r>
        <w:rPr>
          <w:b/>
        </w:rPr>
        <w:t xml:space="preserve">2. </w:t>
      </w:r>
      <w:r>
        <w:t>heat loss to the work rolls over the contact interval.</w:t>
      </w:r>
    </w:p>
    <w:p>
      <w:r>
        <w:t>Until a mechanical model supplies rolling force and plastic work, deformation heating shall use a clearly identified empirical model or pass-level calibrated parameter. It must not be presented as a first-principles prediction.</w:t>
      </w:r>
    </w:p>
    <w:p>
      <w:r>
        <w:t>Roll-contact heat transfer should use contact time derived from roll-bite geometry and strip speed, with a coefficient that may depend on contact pressure, scale and lubrication. A later mechanical module may provide pressure and improve this calculation.</w:t>
      </w:r>
    </w:p>
    <w:p>
      <w:pPr>
        <w:pStyle w:val="Heading2"/>
      </w:pPr>
      <w:r>
        <w:t>6.3 Descaling</w:t>
      </w:r>
    </w:p>
    <w:p>
      <w:r>
        <w:t>Descaling is included from the first physically useful model. It shall be represented as an extended zone with separate upper and lower boundary conditions. Inputs may include:</w:t>
      </w:r>
    </w:p>
    <w:p>
      <w:pPr>
        <w:pStyle w:val="ListBullet"/>
      </w:pPr>
      <w:r>
        <w:t>inlet and outlet coordinates;</w:t>
      </w:r>
    </w:p>
    <w:p>
      <w:pPr>
        <w:pStyle w:val="ListBullet"/>
      </w:pPr>
      <w:r>
        <w:t>water temperature;</w:t>
      </w:r>
    </w:p>
    <w:p>
      <w:pPr>
        <w:pStyle w:val="ListBullet"/>
      </w:pPr>
      <w:r>
        <w:t>upper and lower header state;</w:t>
      </w:r>
    </w:p>
    <w:p>
      <w:pPr>
        <w:pStyle w:val="ListBullet"/>
      </w:pPr>
      <w:r>
        <w:t>pressure and flow or an effective heat-transfer coefficient;</w:t>
      </w:r>
    </w:p>
    <w:p>
      <w:pPr>
        <w:pStyle w:val="ListBullet"/>
      </w:pPr>
      <w:r>
        <w:t>optional head/tail masking or timing.</w:t>
      </w:r>
    </w:p>
    <w:p>
      <w:r>
        <w:t>The relation between water delivery and surface heat flux is empirical and boiling-regime dependent. Plant calibration is expected.</w:t>
      </w:r>
    </w:p>
    <w:p>
      <w:pPr>
        <w:pStyle w:val="Heading2"/>
      </w:pPr>
      <w:r>
        <w:t>6.4 Interstand cooling</w:t>
      </w:r>
    </w:p>
    <w:p>
      <w:r>
        <w:t>Interstand cooling is also included from the initial scope. Each header group shall be an extended process zone. The model should support independent upper and lower action and either:</w:t>
      </w:r>
    </w:p>
    <w:p>
      <w:pPr>
        <w:pStyle w:val="ListBullet"/>
      </w:pPr>
      <w:r>
        <w:t>a validated heat-transfer correlation using water flux, pressure, temperature, surface temperature and speed; or</w:t>
      </w:r>
    </w:p>
    <w:p>
      <w:pPr>
        <w:pStyle w:val="ListBullet"/>
      </w:pPr>
      <w:r>
        <w:t>a calibrated effective boundary coefficient when detailed nozzle data are unavailable.</w:t>
      </w:r>
    </w:p>
    <w:p>
      <w:r>
        <w:t>P2 utility water in m³/h measures consumption during occupancy. It is not automatically the water flux impinging on the strip and shall not be used as a thermal boundary condition without a declared mapping.</w:t>
      </w:r>
    </w:p>
    <w:p>
      <w:pPr>
        <w:pStyle w:val="Heading2"/>
      </w:pPr>
      <w:r>
        <w:t>6.5 Induction heating</w:t>
      </w:r>
    </w:p>
    <w:p>
      <w:r>
        <w:t>Induction heating enters the heat equation as a volumetric generation term:</w:t>
      </w:r>
    </w:p>
    <w:p>
      <w:pPr>
        <w:spacing w:before="100" w:after="140"/>
        <w:jc w:val="center"/>
      </w:pPr>
      <m:oMathPara>
        <m:oMathParaPr>
          <m:jc m:val="center"/>
        </m:oMathParaPr>
        <m:oMath>
          <m:r>
            <m:t>q̇'''_ind(z,t) = A(t) g(z)</m:t>
          </m:r>
        </m:oMath>
      </m:oMathPara>
    </w:p>
    <w:p>
      <w:r>
        <w:t xml:space="preserve">where </w:t>
      </w:r>
      <w:r>
        <w:rPr>
          <w:rFonts w:ascii="Cambria Math" w:hAnsi="Cambria Math" w:eastAsia="Cambria Math"/>
          <w:sz w:val="21"/>
        </w:rPr>
        <w:t>g(z)</w:t>
      </w:r>
      <w:r>
        <w:t xml:space="preserve"> is a normalised through-thickness deposition profile and </w:t>
      </w:r>
      <w:r>
        <w:rPr>
          <w:rFonts w:ascii="Cambria Math" w:hAnsi="Cambria Math" w:eastAsia="Cambria Math"/>
          <w:sz w:val="21"/>
        </w:rPr>
        <w:t>A(t)</w:t>
      </w:r>
      <w:r>
        <w:t xml:space="preserve"> is the absorbed-power amplitude. The first thermal implementation may use:</w:t>
      </w:r>
    </w:p>
    <w:p>
      <w:pPr>
        <w:pStyle w:val="ListBullet"/>
      </w:pPr>
      <w:r>
        <w:t>a uniform deposition profile when justified by penetration depth and geometry; or</w:t>
      </w:r>
    </w:p>
    <w:p>
      <w:pPr>
        <w:pStyle w:val="ListBullet"/>
      </w:pPr>
      <w:r>
        <w:t>a user-selected or tabulated profile, for example an exponential surface-weighted distribution.</w:t>
      </w:r>
    </w:p>
    <w:p>
      <w:r>
        <w:t>The profile depends on frequency, electrical resistivity, magnetic permeability, temperature, thickness and inductor topology. A future electromagnetic module may compute it from first principles.</w:t>
      </w:r>
    </w:p>
    <w:p>
      <w:r>
        <w:t>An inductor is an extended process zone with explicit inlet and outlet. Placing a point device at its outlet is not an acceptable physical representation.</w:t>
      </w:r>
    </w:p>
    <w:p>
      <w:pPr>
        <w:pStyle w:val="Heading3"/>
      </w:pPr>
      <w:r>
        <w:t>Target outlet temperature and power</w:t>
      </w:r>
    </w:p>
    <w:p>
      <w:r>
        <w:t>When an inductor is commanded by outlet temperature, the thermal solver shall determine the source amplitude required to reach the selected outlet temperature quantity. The default quantity is proposed to be mass-average cross-sectional temperature; surface or centre targets should be available explicitly.</w:t>
      </w:r>
    </w:p>
    <w:p>
      <w:r>
        <w:t>The absorbed thermal power follows from the solved volumetric source:</w:t>
      </w:r>
    </w:p>
    <w:p>
      <w:pPr>
        <w:spacing w:before="100" w:after="140"/>
        <w:jc w:val="center"/>
      </w:pPr>
      <m:oMathPara>
        <m:oMathParaPr>
          <m:jc m:val="center"/>
        </m:oMathParaPr>
        <m:oMath>
          <m:r>
            <m:t>P_abs(t) = ∫_V q̇'''_ind dV</m:t>
          </m:r>
        </m:oMath>
      </m:oMathPara>
    </w:p>
    <w:p>
      <w:r>
        <w:t>and, in steady material flow, is consistent with:</w:t>
      </w:r>
    </w:p>
    <w:p>
      <w:pPr>
        <w:spacing w:before="100" w:after="140"/>
        <w:jc w:val="center"/>
      </w:pPr>
      <m:oMathPara>
        <m:oMathParaPr>
          <m:jc m:val="center"/>
        </m:oMathParaPr>
        <m:oMath>
          <m:r>
            <m:t>P̄_abs ≈ ṁ (h̄_out − h̄_in) + P̄_loss</m:t>
          </m:r>
        </m:oMath>
      </m:oMathPara>
    </w:p>
    <w:p>
      <w:r>
        <w:t>The first model should report required absorbed thermal power and energy. Electrical supply power requires an efficiency:</w:t>
      </w:r>
    </w:p>
    <w:p>
      <w:pPr>
        <w:spacing w:before="100" w:after="140"/>
        <w:jc w:val="center"/>
      </w:pPr>
      <m:oMathPara>
        <m:oMathParaPr>
          <m:jc m:val="center"/>
        </m:oMathParaPr>
        <m:oMath>
          <m:r>
            <m:t>P_electric = P_abs / η_system</m:t>
          </m:r>
        </m:oMath>
      </m:oMathPara>
    </w:p>
    <w:p>
      <w:r>
        <w:t>A detailed induction-power module — electromagnetic coupling, frequency selection, penetration, coil/converter efficiency and equipment limits — is future work.</w:t>
      </w:r>
    </w:p>
    <w:p>
      <w:pPr>
        <w:pStyle w:val="Heading2"/>
      </w:pPr>
      <w:r>
        <w:t>6.6 Coilbox</w:t>
      </w:r>
    </w:p>
    <w:p>
      <w:r>
        <w:t>The initial coilbox treatment should deliberately remain simple. For each material cross-section, while it is stored in the coilbox, exposed-air losses are reduced by calibrated factors:</w:t>
      </w:r>
    </w:p>
    <w:p>
      <w:pPr>
        <w:spacing w:before="100" w:after="140"/>
        <w:jc w:val="center"/>
      </w:pPr>
      <m:oMathPara>
        <m:oMathParaPr>
          <m:jc m:val="center"/>
        </m:oMathParaPr>
        <m:oMath>
          <m:r>
            <m:t>q''_rad,CB=f_rad q''_rad,air</m:t>
          </m:r>
        </m:oMath>
      </m:oMathPara>
    </w:p>
    <w:p>
      <w:pPr>
        <w:spacing w:before="100" w:after="140"/>
        <w:jc w:val="center"/>
      </w:pPr>
      <m:oMathPara>
        <m:oMathParaPr>
          <m:jc m:val="center"/>
        </m:oMathParaPr>
        <m:oMath>
          <m:r>
            <m:t>q''_conv,CB=f_conv q''_conv,air</m:t>
          </m:r>
        </m:oMath>
      </m:oMathPara>
    </w:p>
    <w:p>
      <w:r>
        <w:t xml:space="preserve">with </w:t>
      </w:r>
      <w:r>
        <w:rPr>
          <w:rFonts w:ascii="Cambria Math" w:hAnsi="Cambria Math" w:eastAsia="Cambria Math"/>
          <w:sz w:val="21"/>
        </w:rPr>
        <w:t>0 ≤ f_rad,f_conv ≤ 1</w:t>
      </w:r>
      <w:r>
        <w:t>. A single exposure factor may be used in the first version if the distinction is not supported by data.</w:t>
      </w:r>
    </w:p>
    <w:p>
      <w:r>
        <w:t>The time interval shall be evaluated separately for every material cross-section using coilbox entry, storage and LIFO payout. Once a section leaves the box, normal surface boundary conditions resume.</w:t>
      </w:r>
    </w:p>
    <w:p>
      <w:r>
        <w:t>This approximation represents shielding by the wound material. It does not model coil geometry, interlayer contact conduction, edge losses or temperature redistribution between wraps. Those effects may be introduced only after plant data justify the additional parameters.</w:t>
      </w:r>
    </w:p>
    <w:p>
      <w:pPr>
        <w:pStyle w:val="Heading2"/>
      </w:pPr>
      <w:r>
        <w:t>6.7 Forced outlet temperature</w:t>
      </w:r>
    </w:p>
    <w:p>
      <w:r>
        <w:t>TRoll permits the user to impose an outlet temperature on a device. This capability is useful but must be made physically explicit. Three modes are recommended:</w:t>
      </w:r>
    </w:p>
    <w:p>
      <w:pPr>
        <w:ind w:left="369" w:hanging="255"/>
      </w:pPr>
      <w:r>
        <w:rPr>
          <w:b/>
        </w:rPr>
        <w:t xml:space="preserve">1. </w:t>
      </w:r>
      <w:r>
        <w:rPr>
          <w:b/>
        </w:rPr>
        <w:t>Calculated:</w:t>
      </w:r>
      <w:r>
        <w:t xml:space="preserve"> outlet temperature is a model prediction.</w:t>
      </w:r>
    </w:p>
    <w:p>
      <w:pPr>
        <w:ind w:left="369" w:hanging="255"/>
      </w:pPr>
      <w:r>
        <w:rPr>
          <w:b/>
        </w:rPr>
        <w:t xml:space="preserve">2. </w:t>
      </w:r>
      <w:r>
        <w:rPr>
          <w:b/>
        </w:rPr>
        <w:t>Target-controlled:</w:t>
      </w:r>
      <w:r>
        <w:t xml:space="preserve"> an active source or sink is adjusted to meet a target; required energy and power are reported. An induction heater normally uses this mode.</w:t>
      </w:r>
    </w:p>
    <w:p>
      <w:pPr>
        <w:ind w:left="369" w:hanging="255"/>
      </w:pPr>
      <w:r>
        <w:rPr>
          <w:b/>
        </w:rPr>
        <w:t xml:space="preserve">3. </w:t>
      </w:r>
      <w:r>
        <w:rPr>
          <w:b/>
        </w:rPr>
        <w:t>Hard override:</w:t>
      </w:r>
      <w:r>
        <w:t xml:space="preserve"> the thermal state is corrected to a prescribed outlet quantity without claiming that the device physics explains the correction.</w:t>
      </w:r>
    </w:p>
    <w:p>
      <w:r>
        <w:t>A hard override must:</w:t>
      </w:r>
    </w:p>
    <w:p>
      <w:pPr>
        <w:pStyle w:val="ListBullet"/>
      </w:pPr>
      <w:r>
        <w:t>state which quantity is prescribed: mean, top surface, bottom surface or centre;</w:t>
      </w:r>
    </w:p>
    <w:p>
      <w:pPr>
        <w:pStyle w:val="ListBullet"/>
      </w:pPr>
      <w:r>
        <w:t>define how the remaining through-thickness profile is corrected;</w:t>
      </w:r>
    </w:p>
    <w:p>
      <w:pPr>
        <w:pStyle w:val="ListBullet"/>
      </w:pPr>
      <w:r>
        <w:t>report the enthalpy correction as unmodelled energy;</w:t>
      </w:r>
    </w:p>
    <w:p>
      <w:pPr>
        <w:pStyle w:val="ListBullet"/>
      </w:pPr>
      <w:r>
        <w:t>remain visible in results and diagnostics.</w:t>
      </w:r>
    </w:p>
    <w:p>
      <w:r>
        <w:t>The recommended default correction, if only a mean temperature is prescribed, is a uniform specific- enthalpy shift across the profile rather than replacement by an isothermal profile. This preserves the computed gradient while making the imposed energy correction explicit. This recommendation remains to be confirmed.</w:t>
      </w:r>
    </w:p>
    <w:p>
      <w:pPr>
        <w:pStyle w:val="Heading1"/>
      </w:pPr>
      <w:r>
        <w:t>7. Material properties</w:t>
      </w:r>
    </w:p>
    <w:p>
      <w:pPr>
        <w:pStyle w:val="Heading2"/>
      </w:pPr>
      <w:r>
        <w:t>7.1 Required properties</w:t>
      </w:r>
    </w:p>
    <w:p>
      <w:r>
        <w:t>The thermal solver requires, at minimum:</w:t>
      </w:r>
    </w:p>
    <w:p>
      <w:pPr>
        <w:pStyle w:val="ListBullet"/>
      </w:pPr>
      <w:r>
        <w:t xml:space="preserve">specific enthalpy </w:t>
      </w:r>
      <w:r>
        <w:rPr>
          <w:rFonts w:ascii="Cambria Math" w:hAnsi="Cambria Math" w:eastAsia="Cambria Math"/>
          <w:sz w:val="21"/>
        </w:rPr>
        <w:t>h(T)</w:t>
      </w:r>
      <w:r>
        <w:t xml:space="preserve"> or heat capacity </w:t>
      </w:r>
      <w:r>
        <w:rPr>
          <w:rFonts w:ascii="Cambria Math" w:hAnsi="Cambria Math" w:eastAsia="Cambria Math"/>
          <w:sz w:val="21"/>
        </w:rPr>
        <w:t>c_p(T)</w:t>
      </w:r>
      <w:r>
        <w:t>;</w:t>
      </w:r>
    </w:p>
    <w:p>
      <w:pPr>
        <w:pStyle w:val="ListBullet"/>
      </w:pPr>
      <w:r>
        <w:t xml:space="preserve">thermal conductivity </w:t>
      </w:r>
      <w:r>
        <w:rPr>
          <w:rFonts w:ascii="Cambria Math" w:hAnsi="Cambria Math" w:eastAsia="Cambria Math"/>
          <w:sz w:val="21"/>
        </w:rPr>
        <w:t>k(T)</w:t>
      </w:r>
      <w:r>
        <w:t>;</w:t>
      </w:r>
    </w:p>
    <w:p>
      <w:pPr>
        <w:pStyle w:val="ListBullet"/>
      </w:pPr>
      <w:r>
        <w:t xml:space="preserve">density </w:t>
      </w:r>
      <w:r>
        <w:rPr>
          <w:rFonts w:ascii="Cambria Math" w:hAnsi="Cambria Math" w:eastAsia="Cambria Math"/>
          <w:sz w:val="21"/>
        </w:rPr>
        <w:t>ρ(T)</w:t>
      </w:r>
      <w:r>
        <w:t>;</w:t>
      </w:r>
    </w:p>
    <w:p>
      <w:pPr>
        <w:pStyle w:val="ListBullet"/>
      </w:pPr>
      <w:r>
        <w:t>surface emissivity model;</w:t>
      </w:r>
    </w:p>
    <w:p>
      <w:pPr>
        <w:pStyle w:val="ListBullet"/>
      </w:pPr>
      <w:r>
        <w:t>optional electrical resistivity and magnetic permeability for induction models;</w:t>
      </w:r>
    </w:p>
    <w:p>
      <w:pPr>
        <w:pStyle w:val="ListBullet"/>
      </w:pPr>
      <w:r>
        <w:t>later, phase-transformation data and latent heat.</w:t>
      </w:r>
    </w:p>
    <w:p>
      <w:pPr>
        <w:pStyle w:val="Heading2"/>
      </w:pPr>
      <w:r>
        <w:t>7.2 State-of-the-art direction</w:t>
      </w:r>
    </w:p>
    <w:p>
      <w:r>
        <w:t>The project should not embed old BISRA constants as its sole property source. A modern design should use a versioned material-property provider selected by material identifier and, where available, chemical composition.</w:t>
      </w:r>
    </w:p>
    <w:p>
      <w:r>
        <w:t>Recommended provider hierarchy:</w:t>
      </w:r>
    </w:p>
    <w:p>
      <w:pPr>
        <w:ind w:left="369" w:hanging="255"/>
      </w:pPr>
      <w:r>
        <w:rPr>
          <w:b/>
        </w:rPr>
        <w:t xml:space="preserve">1. </w:t>
      </w:r>
      <w:r>
        <w:t>validated plant-specific tables;</w:t>
      </w:r>
    </w:p>
    <w:p>
      <w:pPr>
        <w:ind w:left="369" w:hanging="255"/>
      </w:pPr>
      <w:r>
        <w:rPr>
          <w:b/>
        </w:rPr>
        <w:t xml:space="preserve">2. </w:t>
      </w:r>
      <w:r>
        <w:t>versioned tables exported from a CALPHAD/properties system such as Thermo-Calc/TCFE or JMatPro, where licensing permits;</w:t>
      </w:r>
    </w:p>
    <w:p>
      <w:pPr>
        <w:ind w:left="369" w:hanging="255"/>
      </w:pPr>
      <w:r>
        <w:rPr>
          <w:b/>
        </w:rPr>
        <w:t xml:space="preserve">3. </w:t>
      </w:r>
      <w:r>
        <w:t>peer-reviewed correlations with explicit provenance and applicability range;</w:t>
      </w:r>
    </w:p>
    <w:p>
      <w:pPr>
        <w:ind w:left="369" w:hanging="255"/>
      </w:pPr>
      <w:r>
        <w:rPr>
          <w:b/>
        </w:rPr>
        <w:t xml:space="preserve">4. </w:t>
      </w:r>
      <w:r>
        <w:t>user overrides for controlled studies.</w:t>
      </w:r>
    </w:p>
    <w:p>
      <w:r>
        <w:t>Runtime use of proprietary software should not be mandatory. Properties may be generated offline and stored as versioned tables with source, composition, temperature range and interpolation rules.</w:t>
      </w:r>
    </w:p>
    <w:p>
      <w:r>
        <w:t>The interpolation must be deterministic and monotone where physically required. Extrapolation beyond the declared range must never occur silently.</w:t>
      </w:r>
    </w:p>
    <w:p>
      <w:pPr>
        <w:pStyle w:val="Heading2"/>
      </w:pPr>
      <w:r>
        <w:t>7.3 Initial metallurgical assumption</w:t>
      </w:r>
    </w:p>
    <w:p>
      <w:r>
        <w:t>Because run-out-table cooling is deferred, the initial model may treat the material as austenitic up to the finishing-mill exit, using effective high-temperature properties. If a calculated state leaves the validated material range or enters a transformation regime not modelled, the result must carry a warning.</w:t>
      </w:r>
    </w:p>
    <w:p>
      <w:pPr>
        <w:pStyle w:val="Heading1"/>
      </w:pPr>
      <w:r>
        <w:t>8. Numerical method</w:t>
      </w:r>
    </w:p>
    <w:p>
      <w:pPr>
        <w:pStyle w:val="Heading2"/>
      </w:pPr>
      <w:r>
        <w:t>8.1 Spatial discretisation</w:t>
      </w:r>
    </w:p>
    <w:p>
      <w:r>
        <w:t>Use a one-dimensional mesh through the full thickness for each material cross-section. The mesh may be fixed in normalised coordinate and remapped after reductions. The number of nodes must be configurable, with a documented production default and mesh-convergence evidence.</w:t>
      </w:r>
    </w:p>
    <w:p>
      <w:pPr>
        <w:pStyle w:val="Heading2"/>
      </w:pPr>
      <w:r>
        <w:t>8.2 Time integration</w:t>
      </w:r>
    </w:p>
    <w:p>
      <w:r>
        <w:t>An implicit finite-difference or finite-volume method is recommended because water cooling and radiation create stiff, nonlinear boundary conditions. Backward Euler is a robust initial choice; Crank–Nicolson or higher-order integration may be considered after monotonicity and stability are demonstrated.</w:t>
      </w:r>
    </w:p>
    <w:p>
      <w:r>
        <w:t>Time steps shall end exactly at:</w:t>
      </w:r>
    </w:p>
    <w:p>
      <w:pPr>
        <w:pStyle w:val="ListBullet"/>
      </w:pPr>
      <w:r>
        <w:t>process-zone inlet and outlet crossings;</w:t>
      </w:r>
    </w:p>
    <w:p>
      <w:pPr>
        <w:pStyle w:val="ListBullet"/>
      </w:pPr>
      <w:r>
        <w:t>stand bite and exit;</w:t>
      </w:r>
    </w:p>
    <w:p>
      <w:pPr>
        <w:pStyle w:val="ListBullet"/>
      </w:pPr>
      <w:r>
        <w:t>changes in spray or induction command;</w:t>
      </w:r>
    </w:p>
    <w:p>
      <w:pPr>
        <w:pStyle w:val="ListBullet"/>
      </w:pPr>
      <w:r>
        <w:t>coilbox entry, storage and payout transitions;</w:t>
      </w:r>
    </w:p>
    <w:p>
      <w:pPr>
        <w:pStyle w:val="ListBullet"/>
      </w:pPr>
      <w:r>
        <w:t>requested output coordinates.</w:t>
      </w:r>
    </w:p>
    <w:p>
      <w:r>
        <w:t>Within those intervals, adaptive subdivision may be used to satisfy error tolerances. The thermal time step is independent of the analytic kinematic representation; the kinematic state is evaluated at the required time without resampling its trajectories.</w:t>
      </w:r>
    </w:p>
    <w:p>
      <w:pPr>
        <w:pStyle w:val="Heading2"/>
      </w:pPr>
      <w:r>
        <w:t>8.3 Nonlinear solve</w:t>
      </w:r>
    </w:p>
    <w:p>
      <w:r>
        <w:t>Temperature-dependent properties, radiation and nonlinear cooling laws require iteration within a time step. Convergence criteria shall be defined on both temperature increment and energy residual. Failure to converge must be explicit, not silently replaced by the last iterate.</w:t>
      </w:r>
    </w:p>
    <w:p>
      <w:pPr>
        <w:pStyle w:val="Heading2"/>
      </w:pPr>
      <w:r>
        <w:t>8.4 Conservation</w:t>
      </w:r>
    </w:p>
    <w:p>
      <w:r>
        <w:t>Every thermal step shall support an energy ledger:</w:t>
      </w:r>
    </w:p>
    <w:p>
      <w:pPr>
        <w:pStyle w:val="ListBullet"/>
      </w:pPr>
      <w:r>
        <w:t>initial enthalpy;</w:t>
      </w:r>
    </w:p>
    <w:p>
      <w:pPr>
        <w:pStyle w:val="ListBullet"/>
      </w:pPr>
      <w:r>
        <w:t>boundary losses by mechanism;</w:t>
      </w:r>
    </w:p>
    <w:p>
      <w:pPr>
        <w:pStyle w:val="ListBullet"/>
      </w:pPr>
      <w:r>
        <w:t>volumetric generation;</w:t>
      </w:r>
    </w:p>
    <w:p>
      <w:pPr>
        <w:pStyle w:val="ListBullet"/>
      </w:pPr>
      <w:r>
        <w:t>deformation heat;</w:t>
      </w:r>
    </w:p>
    <w:p>
      <w:pPr>
        <w:pStyle w:val="ListBullet"/>
      </w:pPr>
      <w:r>
        <w:t>imposed override correction;</w:t>
      </w:r>
    </w:p>
    <w:p>
      <w:pPr>
        <w:pStyle w:val="ListBullet"/>
      </w:pPr>
      <w:r>
        <w:t>final enthalpy;</w:t>
      </w:r>
    </w:p>
    <w:p>
      <w:pPr>
        <w:pStyle w:val="ListBullet"/>
      </w:pPr>
      <w:r>
        <w:t>residual.</w:t>
      </w:r>
    </w:p>
    <w:p>
      <w:r>
        <w:t>This ledger is essential for verification and for explaining required inductor power.</w:t>
      </w:r>
    </w:p>
    <w:p>
      <w:pPr>
        <w:pStyle w:val="Heading1"/>
      </w:pPr>
      <w:r>
        <w:t>9. Input architecture</w:t>
      </w:r>
    </w:p>
    <w:p>
      <w:pPr>
        <w:pStyle w:val="Heading2"/>
      </w:pPr>
      <w:r>
        <w:t>9.1 Direction</w:t>
      </w:r>
    </w:p>
    <w:p>
      <w:r>
        <w:t>Excel should cease to be the canonical project format. It remains useful as a transitional import, export and engineering review tool, but a state-of-the-art application should edit validated domain objects through a GUI and save them in a versioned machine-readable project format.</w:t>
      </w:r>
    </w:p>
    <w:p>
      <w:pPr>
        <w:pStyle w:val="Heading2"/>
      </w:pPr>
      <w:r>
        <w:t>9.2 Recommended canonical representation</w:t>
      </w:r>
    </w:p>
    <w:p>
      <w:r>
        <w:t>The recommended direction is:</w:t>
      </w:r>
    </w:p>
    <w:p>
      <w:pPr>
        <w:pStyle w:val="ListBullet"/>
      </w:pPr>
      <w:r>
        <w:t>a versioned canonical project schema, independent of the GUI;</w:t>
      </w:r>
    </w:p>
    <w:p>
      <w:pPr>
        <w:pStyle w:val="ListBullet"/>
      </w:pPr>
      <w:r>
        <w:t>JSON as the default canonical encoding, building on the existing Level 2 contract;</w:t>
      </w:r>
    </w:p>
    <w:p>
      <w:pPr>
        <w:pStyle w:val="ListBullet"/>
      </w:pPr>
      <w:r>
        <w:t>TRoll XML retained as an interoperability adapter, not as the internal model;</w:t>
      </w:r>
    </w:p>
    <w:p>
      <w:pPr>
        <w:pStyle w:val="ListBullet"/>
      </w:pPr>
      <w:r>
        <w:t>optional packaging of JSON plus material tables and attachments in a single project archive;</w:t>
      </w:r>
    </w:p>
    <w:p>
      <w:pPr>
        <w:pStyle w:val="ListBullet"/>
      </w:pPr>
      <w:r>
        <w:t>explicit schema migrations between versions;</w:t>
      </w:r>
    </w:p>
    <w:p>
      <w:pPr>
        <w:pStyle w:val="ListBullet"/>
      </w:pPr>
      <w:r>
        <w:t>input project and simulation result stored separately.</w:t>
      </w:r>
    </w:p>
    <w:p>
      <w:r>
        <w:t>XML can also be exported if external systems require it. XML versus JSON is not the measure of modernity; schema quality, validation, migrations, provenance and API stability are.</w:t>
      </w:r>
    </w:p>
    <w:p>
      <w:r>
        <w:t>The exact project container — plain JSON or a packaged project file — remains an architectural decision.</w:t>
      </w:r>
    </w:p>
    <w:p>
      <w:pPr>
        <w:pStyle w:val="Heading2"/>
      </w:pPr>
      <w:r>
        <w:t>9.3 Thermal input groups</w:t>
      </w:r>
    </w:p>
    <w:p>
      <w:r>
        <w:t>The canonical schema should separate:</w:t>
      </w:r>
    </w:p>
    <w:p>
      <w:pPr>
        <w:pStyle w:val="ListBullet"/>
      </w:pPr>
      <w:r>
        <w:t>product and initial thermal state;</w:t>
      </w:r>
    </w:p>
    <w:p>
      <w:pPr>
        <w:pStyle w:val="ListBullet"/>
      </w:pPr>
      <w:r>
        <w:t>material identity, composition and property-provider version;</w:t>
      </w:r>
    </w:p>
    <w:p>
      <w:pPr>
        <w:pStyle w:val="ListBullet"/>
      </w:pPr>
      <w:r>
        <w:t>layout objects and their point or extended geometry;</w:t>
      </w:r>
    </w:p>
    <w:p>
      <w:pPr>
        <w:pStyle w:val="ListBullet"/>
      </w:pPr>
      <w:r>
        <w:t>thermal process zones and active boundary/source models;</w:t>
      </w:r>
    </w:p>
    <w:p>
      <w:pPr>
        <w:pStyle w:val="ListBullet"/>
      </w:pPr>
      <w:r>
        <w:t>device commands and forced-temperature modes;</w:t>
      </w:r>
    </w:p>
    <w:p>
      <w:pPr>
        <w:pStyle w:val="ListBullet"/>
      </w:pPr>
      <w:r>
        <w:t>numerical settings;</w:t>
      </w:r>
    </w:p>
    <w:p>
      <w:pPr>
        <w:pStyle w:val="ListBullet"/>
      </w:pPr>
      <w:r>
        <w:t>requested observation coordinates;</w:t>
      </w:r>
    </w:p>
    <w:p>
      <w:pPr>
        <w:pStyle w:val="ListBullet"/>
      </w:pPr>
      <w:r>
        <w:t>validation data and provenance.</w:t>
      </w:r>
    </w:p>
    <w:p>
      <w:r>
        <w:t>The GUI should expose units, allowable ranges and contextual validation. It should never require the user to edit raw JSON or XML for routine work.</w:t>
      </w:r>
    </w:p>
    <w:p>
      <w:pPr>
        <w:pStyle w:val="Heading1"/>
      </w:pPr>
      <w:r>
        <w:t>10. Outputs</w:t>
      </w:r>
    </w:p>
    <w:p>
      <w:pPr>
        <w:pStyle w:val="Heading2"/>
      </w:pPr>
      <w:r>
        <w:t>10.1 Per material cross-section</w:t>
      </w:r>
    </w:p>
    <w:p>
      <w:r>
        <w:t>For each selected longitudinal cross-section:</w:t>
      </w:r>
    </w:p>
    <w:p>
      <w:pPr>
        <w:pStyle w:val="ListBullet"/>
      </w:pPr>
      <w:r>
        <w:t>position and time history;</w:t>
      </w:r>
    </w:p>
    <w:p>
      <w:pPr>
        <w:pStyle w:val="ListBullet"/>
      </w:pPr>
      <w:r>
        <w:t>top surface, centre, bottom surface and mass-average temperature;</w:t>
      </w:r>
    </w:p>
    <w:p>
      <w:pPr>
        <w:pStyle w:val="ListBullet"/>
      </w:pPr>
      <w:r>
        <w:t>through-thickness profile at selected events;</w:t>
      </w:r>
    </w:p>
    <w:p>
      <w:pPr>
        <w:pStyle w:val="ListBullet"/>
      </w:pPr>
      <w:r>
        <w:t>residence time and heat balance per process zone;</w:t>
      </w:r>
    </w:p>
    <w:p>
      <w:pPr>
        <w:pStyle w:val="ListBullet"/>
      </w:pPr>
      <w:r>
        <w:t>temperature immediately upstream and downstream of each device;</w:t>
      </w:r>
    </w:p>
    <w:p>
      <w:pPr>
        <w:pStyle w:val="ListBullet"/>
      </w:pPr>
      <w:r>
        <w:t>source, loss and override contributions.</w:t>
      </w:r>
    </w:p>
    <w:p>
      <w:pPr>
        <w:pStyle w:val="Heading2"/>
      </w:pPr>
      <w:r>
        <w:t>10.2 Per device</w:t>
      </w:r>
    </w:p>
    <w:p>
      <w:pPr>
        <w:pStyle w:val="ListBullet"/>
      </w:pPr>
      <w:r>
        <w:t>inlet and outlet temperature metrics;</w:t>
      </w:r>
    </w:p>
    <w:p>
      <w:pPr>
        <w:pStyle w:val="ListBullet"/>
      </w:pPr>
      <w:r>
        <w:t>heat removed or added by mechanism;</w:t>
      </w:r>
    </w:p>
    <w:p>
      <w:pPr>
        <w:pStyle w:val="ListBullet"/>
      </w:pPr>
      <w:r>
        <w:t>absorbed thermal power and energy for induction;</w:t>
      </w:r>
    </w:p>
    <w:p>
      <w:pPr>
        <w:pStyle w:val="ListBullet"/>
      </w:pPr>
      <w:r>
        <w:t>estimated electrical power only when an efficiency model is declared;</w:t>
      </w:r>
    </w:p>
    <w:p>
      <w:pPr>
        <w:pStyle w:val="ListBullet"/>
      </w:pPr>
      <w:r>
        <w:t>target error and capacity-limit status;</w:t>
      </w:r>
    </w:p>
    <w:p>
      <w:pPr>
        <w:pStyle w:val="ListBullet"/>
      </w:pPr>
      <w:r>
        <w:t>indication of calculated, target-controlled or hard-override mode.</w:t>
      </w:r>
    </w:p>
    <w:p>
      <w:pPr>
        <w:pStyle w:val="Heading2"/>
      </w:pPr>
      <w:r>
        <w:t>10.3 Product summary</w:t>
      </w:r>
    </w:p>
    <w:p>
      <w:pPr>
        <w:pStyle w:val="ListBullet"/>
      </w:pPr>
      <w:r>
        <w:t>furnace-discharge input temperature;</w:t>
      </w:r>
    </w:p>
    <w:p>
      <w:pPr>
        <w:pStyle w:val="ListBullet"/>
      </w:pPr>
      <w:r>
        <w:t>roughing and finishing entry/exit temperatures;</w:t>
      </w:r>
    </w:p>
    <w:p>
      <w:pPr>
        <w:pStyle w:val="ListBullet"/>
      </w:pPr>
      <w:r>
        <w:t>head/centre/tail spread;</w:t>
      </w:r>
    </w:p>
    <w:p>
      <w:pPr>
        <w:pStyle w:val="ListBullet"/>
      </w:pPr>
      <w:r>
        <w:t>extrema over the process;</w:t>
      </w:r>
    </w:p>
    <w:p>
      <w:pPr>
        <w:pStyle w:val="ListBullet"/>
      </w:pPr>
      <w:r>
        <w:t>warnings for unmodelled regimes or property extrapolation;</w:t>
      </w:r>
    </w:p>
    <w:p>
      <w:pPr>
        <w:pStyle w:val="ListBullet"/>
      </w:pPr>
      <w:r>
        <w:t>energy-conservation residual.</w:t>
      </w:r>
    </w:p>
    <w:p>
      <w:r>
        <w:t>Run-out-table and coiling-temperature results will be added only in the later cooling phase.</w:t>
      </w:r>
    </w:p>
    <w:p>
      <w:pPr>
        <w:pStyle w:val="Heading1"/>
      </w:pPr>
      <w:r>
        <w:t>11. Verification, calibration and validation</w:t>
      </w:r>
    </w:p>
    <w:p>
      <w:pPr>
        <w:pStyle w:val="Heading2"/>
      </w:pPr>
      <w:r>
        <w:t>11.1 Code and numerical verification</w:t>
      </w:r>
    </w:p>
    <w:p>
      <w:r>
        <w:t>Mandatory benchmark cases include:</w:t>
      </w:r>
    </w:p>
    <w:p>
      <w:pPr>
        <w:ind w:left="369" w:hanging="255"/>
      </w:pPr>
      <w:r>
        <w:rPr>
          <w:b/>
        </w:rPr>
        <w:t xml:space="preserve">1. </w:t>
      </w:r>
      <w:r>
        <w:t>adiabatic body: temperature and enthalpy remain constant;</w:t>
      </w:r>
    </w:p>
    <w:p>
      <w:pPr>
        <w:ind w:left="369" w:hanging="255"/>
      </w:pPr>
      <w:r>
        <w:rPr>
          <w:b/>
        </w:rPr>
        <w:t xml:space="preserve">2. </w:t>
      </w:r>
      <w:r>
        <w:t>prescribed uniform volumetric generation: energy rise matches the analytic balance;</w:t>
      </w:r>
    </w:p>
    <w:p>
      <w:pPr>
        <w:ind w:left="369" w:hanging="255"/>
      </w:pPr>
      <w:r>
        <w:rPr>
          <w:b/>
        </w:rPr>
        <w:t xml:space="preserve">3. </w:t>
      </w:r>
      <w:r>
        <w:t>symmetric air cooling: upper and lower profiles remain symmetric;</w:t>
      </w:r>
    </w:p>
    <w:p>
      <w:pPr>
        <w:ind w:left="369" w:hanging="255"/>
      </w:pPr>
      <w:r>
        <w:rPr>
          <w:b/>
        </w:rPr>
        <w:t xml:space="preserve">4. </w:t>
      </w:r>
      <w:r>
        <w:t>asymmetric one-sided cooling: expected profile direction is reproduced;</w:t>
      </w:r>
    </w:p>
    <w:p>
      <w:pPr>
        <w:ind w:left="369" w:hanging="255"/>
      </w:pPr>
      <w:r>
        <w:rPr>
          <w:b/>
        </w:rPr>
        <w:t xml:space="preserve">5. </w:t>
      </w:r>
      <w:r>
        <w:t>slab conduction benchmark with known analytical solution;</w:t>
      </w:r>
    </w:p>
    <w:p>
      <w:pPr>
        <w:ind w:left="369" w:hanging="255"/>
      </w:pPr>
      <w:r>
        <w:rPr>
          <w:b/>
        </w:rPr>
        <w:t xml:space="preserve">6. </w:t>
      </w:r>
      <w:r>
        <w:t>conservative thickness remap with no heat transfer;</w:t>
      </w:r>
    </w:p>
    <w:p>
      <w:pPr>
        <w:ind w:left="369" w:hanging="255"/>
      </w:pPr>
      <w:r>
        <w:rPr>
          <w:b/>
        </w:rPr>
        <w:t xml:space="preserve">7. </w:t>
      </w:r>
      <w:r>
        <w:t>inductor target mode: outlet target and energy balance close simultaneously;</w:t>
      </w:r>
    </w:p>
    <w:p>
      <w:pPr>
        <w:ind w:left="369" w:hanging="255"/>
      </w:pPr>
      <w:r>
        <w:rPr>
          <w:b/>
        </w:rPr>
        <w:t xml:space="preserve">8. </w:t>
      </w:r>
      <w:r>
        <w:t>device-zone crossing under forward and reversing motion;</w:t>
      </w:r>
    </w:p>
    <w:p>
      <w:pPr>
        <w:ind w:left="369" w:hanging="255"/>
      </w:pPr>
      <w:r>
        <w:rPr>
          <w:b/>
        </w:rPr>
        <w:t xml:space="preserve">9. </w:t>
      </w:r>
      <w:r>
        <w:t>coilbox exposure factors of 1 and 0 recover exposed and ideally shielded limiting cases;</w:t>
      </w:r>
    </w:p>
    <w:p>
      <w:pPr>
        <w:ind w:left="369" w:hanging="255"/>
      </w:pPr>
      <w:r>
        <w:rPr>
          <w:b/>
        </w:rPr>
        <w:t xml:space="preserve">10. </w:t>
      </w:r>
      <w:r>
        <w:t>mesh and time-step convergence.</w:t>
      </w:r>
    </w:p>
    <w:p>
      <w:pPr>
        <w:pStyle w:val="Heading2"/>
      </w:pPr>
      <w:r>
        <w:t>11.2 Plant calibration</w:t>
      </w:r>
    </w:p>
    <w:p>
      <w:r>
        <w:t>The absence of pyrometers in the TRoll layout does not imply the absence of validation data. Pyrometer measurements, trials or trusted Level 2 histories should be imported as a separate validation dataset with coordinate, timestamp/material location, measurement definition and uncertainty.</w:t>
      </w:r>
    </w:p>
    <w:p>
      <w:r>
        <w:t>Calibrate only parameters that represent uncertain heat transfer, such as:</w:t>
      </w:r>
    </w:p>
    <w:p>
      <w:pPr>
        <w:pStyle w:val="ListBullet"/>
      </w:pPr>
      <w:r>
        <w:t>emissivity/surface condition;</w:t>
      </w:r>
    </w:p>
    <w:p>
      <w:pPr>
        <w:pStyle w:val="ListBullet"/>
      </w:pPr>
      <w:r>
        <w:t>roll-contact coefficient;</w:t>
      </w:r>
    </w:p>
    <w:p>
      <w:pPr>
        <w:pStyle w:val="ListBullet"/>
      </w:pPr>
      <w:r>
        <w:t>descaling and interstand cooling coefficients;</w:t>
      </w:r>
    </w:p>
    <w:p>
      <w:pPr>
        <w:pStyle w:val="ListBullet"/>
      </w:pPr>
      <w:r>
        <w:t>coilbox exposure factors;</w:t>
      </w:r>
    </w:p>
    <w:p>
      <w:pPr>
        <w:pStyle w:val="ListBullet"/>
      </w:pPr>
      <w:r>
        <w:t>induction efficiency or deposition profile.</w:t>
      </w:r>
    </w:p>
    <w:p>
      <w:r>
        <w:t>Bulk material properties should not be freely tuned to compensate for process-model errors.</w:t>
      </w:r>
    </w:p>
    <w:p>
      <w:pPr>
        <w:pStyle w:val="Heading2"/>
      </w:pPr>
      <w:r>
        <w:t>11.3 Acceptance metrics</w:t>
      </w:r>
    </w:p>
    <w:p>
      <w:r>
        <w:t>Temperature error targets must be agreed per measurement location and instrument uncertainty. Report at least bias, mean absolute error, root-mean-square error and head/centre/tail residuals. No universal accuracy value is specified in this draft.</w:t>
      </w:r>
    </w:p>
    <w:p>
      <w:pPr>
        <w:pStyle w:val="Heading1"/>
      </w:pPr>
      <w:r>
        <w:t>12. Development sequence</w:t>
      </w:r>
    </w:p>
    <w:p>
      <w:pPr>
        <w:pStyle w:val="Heading2"/>
      </w:pPr>
      <w:r>
        <w:t>Phase A — Data and schema specification</w:t>
      </w:r>
    </w:p>
    <w:p>
      <w:pPr>
        <w:pStyle w:val="ListBullet"/>
      </w:pPr>
      <w:r>
        <w:t>inventory thermal fields in real TRoll dumps;</w:t>
      </w:r>
    </w:p>
    <w:p>
      <w:pPr>
        <w:pStyle w:val="ListBullet"/>
      </w:pPr>
      <w:r>
        <w:t>inventory available plant measurements and device metadata;</w:t>
      </w:r>
    </w:p>
    <w:p>
      <w:pPr>
        <w:pStyle w:val="ListBullet"/>
      </w:pPr>
      <w:r>
        <w:t>freeze units, target definitions and process-zone geometry;</w:t>
      </w:r>
    </w:p>
    <w:p>
      <w:pPr>
        <w:pStyle w:val="ListBullet"/>
      </w:pPr>
      <w:r>
        <w:t>select the canonical project-format direction;</w:t>
      </w:r>
    </w:p>
    <w:p>
      <w:pPr>
        <w:pStyle w:val="ListBullet"/>
      </w:pPr>
      <w:r>
        <w:t>select initial material-property sources.</w:t>
      </w:r>
    </w:p>
    <w:p>
      <w:pPr>
        <w:pStyle w:val="Heading2"/>
      </w:pPr>
      <w:r>
        <w:t>Phase B — Dry-line thermal core</w:t>
      </w:r>
    </w:p>
    <w:p>
      <w:pPr>
        <w:pStyle w:val="ListBullet"/>
      </w:pPr>
      <w:r>
        <w:t>Lagrangian material sections;</w:t>
      </w:r>
    </w:p>
    <w:p>
      <w:pPr>
        <w:pStyle w:val="ListBullet"/>
      </w:pPr>
      <w:r>
        <w:t>one-dimensional enthalpy solver;</w:t>
      </w:r>
    </w:p>
    <w:p>
      <w:pPr>
        <w:pStyle w:val="ListBullet"/>
      </w:pPr>
      <w:r>
        <w:t>air radiation/convection;</w:t>
      </w:r>
    </w:p>
    <w:p>
      <w:pPr>
        <w:pStyle w:val="ListBullet"/>
      </w:pPr>
      <w:r>
        <w:t>conservative pass remapping;</w:t>
      </w:r>
    </w:p>
    <w:p>
      <w:pPr>
        <w:pStyle w:val="ListBullet"/>
      </w:pPr>
      <w:r>
        <w:t>device inlet/outlet outputs and energy ledger.</w:t>
      </w:r>
    </w:p>
    <w:p>
      <w:pPr>
        <w:pStyle w:val="Heading2"/>
      </w:pPr>
      <w:r>
        <w:t>Phase C — Rolling and primary process devices</w:t>
      </w:r>
    </w:p>
    <w:p>
      <w:pPr>
        <w:pStyle w:val="ListBullet"/>
      </w:pPr>
      <w:r>
        <w:t>deformation heating;</w:t>
      </w:r>
    </w:p>
    <w:p>
      <w:pPr>
        <w:pStyle w:val="ListBullet"/>
      </w:pPr>
      <w:r>
        <w:t>roll-contact cooling;</w:t>
      </w:r>
    </w:p>
    <w:p>
      <w:pPr>
        <w:pStyle w:val="ListBullet"/>
      </w:pPr>
      <w:r>
        <w:t>descaling;</w:t>
      </w:r>
    </w:p>
    <w:p>
      <w:pPr>
        <w:pStyle w:val="ListBullet"/>
      </w:pPr>
      <w:r>
        <w:t>interstand cooling;</w:t>
      </w:r>
    </w:p>
    <w:p>
      <w:pPr>
        <w:pStyle w:val="ListBullet"/>
      </w:pPr>
      <w:r>
        <w:t>induction source and outlet-temperature target mode;</w:t>
      </w:r>
    </w:p>
    <w:p>
      <w:pPr>
        <w:pStyle w:val="ListBullet"/>
      </w:pPr>
      <w:r>
        <w:t>simplified coilbox exposure model.</w:t>
      </w:r>
    </w:p>
    <w:p>
      <w:pPr>
        <w:pStyle w:val="Heading2"/>
      </w:pPr>
      <w:r>
        <w:t>Phase D — GUI, persistence and validation</w:t>
      </w:r>
    </w:p>
    <w:p>
      <w:pPr>
        <w:pStyle w:val="ListBullet"/>
      </w:pPr>
      <w:r>
        <w:t>project editor using the versioned canonical schema;</w:t>
      </w:r>
    </w:p>
    <w:p>
      <w:pPr>
        <w:pStyle w:val="ListBullet"/>
      </w:pPr>
      <w:r>
        <w:t>material and device editors with unit-aware validation;</w:t>
      </w:r>
    </w:p>
    <w:p>
      <w:pPr>
        <w:pStyle w:val="ListBullet"/>
      </w:pPr>
      <w:r>
        <w:t>temperature-profile visualisation;</w:t>
      </w:r>
    </w:p>
    <w:p>
      <w:pPr>
        <w:pStyle w:val="ListBullet"/>
      </w:pPr>
      <w:r>
        <w:t>result and validation-data import/export;</w:t>
      </w:r>
    </w:p>
    <w:p>
      <w:pPr>
        <w:pStyle w:val="ListBullet"/>
      </w:pPr>
      <w:r>
        <w:t>calibration against plant data.</w:t>
      </w:r>
    </w:p>
    <w:p>
      <w:pPr>
        <w:pStyle w:val="Heading2"/>
      </w:pPr>
      <w:r>
        <w:t>Phase E — Deferred thermal/metallurgical scope</w:t>
      </w:r>
    </w:p>
    <w:p>
      <w:pPr>
        <w:pStyle w:val="ListBullet"/>
      </w:pPr>
      <w:r>
        <w:t>run-out-table cooling;</w:t>
      </w:r>
    </w:p>
    <w:p>
      <w:pPr>
        <w:pStyle w:val="ListBullet"/>
      </w:pPr>
      <w:r>
        <w:t>austenite-decomposition kinetics and latent heat;</w:t>
      </w:r>
    </w:p>
    <w:p>
      <w:pPr>
        <w:pStyle w:val="ListBullet"/>
      </w:pPr>
      <w:r>
        <w:t>coiling temperature;</w:t>
      </w:r>
    </w:p>
    <w:p>
      <w:pPr>
        <w:pStyle w:val="ListBullet"/>
      </w:pPr>
      <w:r>
        <w:t>detailed coilbox and induction electromagnetic models;</w:t>
      </w:r>
    </w:p>
    <w:p>
      <w:pPr>
        <w:pStyle w:val="ListBullet"/>
      </w:pPr>
      <w:r>
        <w:t>coupling to mechanical and microstructural models.</w:t>
      </w:r>
    </w:p>
    <w:p>
      <w:pPr>
        <w:pStyle w:val="Heading2"/>
      </w:pPr>
      <w:r>
        <w:t>Phase F — Future outer optimisation</w:t>
      </w:r>
    </w:p>
    <w:p>
      <w:pPr>
        <w:pStyle w:val="ListBullet"/>
      </w:pPr>
      <w:r>
        <w:t>schedule studies that modify speed, cooling and induction commands;</w:t>
      </w:r>
    </w:p>
    <w:p>
      <w:pPr>
        <w:pStyle w:val="ListBullet"/>
      </w:pPr>
      <w:r>
        <w:t>rerun kinematics and thermal physics for each candidate;</w:t>
      </w:r>
    </w:p>
    <w:p>
      <w:pPr>
        <w:pStyle w:val="ListBullet"/>
      </w:pPr>
      <w:r>
        <w:t>optimise thermal constraints, productivity and energy outside the event loop.</w:t>
      </w:r>
    </w:p>
    <w:p>
      <w:pPr>
        <w:pStyle w:val="Heading1"/>
      </w:pPr>
      <w:r>
        <w:t>13. Open decisions for the next discussion</w:t>
      </w:r>
    </w:p>
    <w:p>
      <w:pPr>
        <w:ind w:left="369" w:hanging="255"/>
      </w:pPr>
      <w:r>
        <w:rPr>
          <w:b/>
        </w:rPr>
        <w:t xml:space="preserve">1. </w:t>
      </w:r>
      <w:r>
        <w:t>Does initial temperature mean a uniform through-thickness temperature, or can an initial profile be supplied?</w:t>
      </w:r>
    </w:p>
    <w:p>
      <w:pPr>
        <w:ind w:left="369" w:hanging="255"/>
      </w:pPr>
      <w:r>
        <w:rPr>
          <w:b/>
        </w:rPr>
        <w:t xml:space="preserve">2. </w:t>
      </w:r>
      <w:r>
        <w:t>Which temperature quantity does a legacy TRoll “forced outlet temperature” represent?</w:t>
      </w:r>
    </w:p>
    <w:p>
      <w:pPr>
        <w:ind w:left="369" w:hanging="255"/>
      </w:pPr>
      <w:r>
        <w:rPr>
          <w:b/>
        </w:rPr>
        <w:t xml:space="preserve">3. </w:t>
      </w:r>
      <w:r>
        <w:t>For a generic hard override, should the profile receive a uniform enthalpy shift as recommended?</w:t>
      </w:r>
    </w:p>
    <w:p>
      <w:pPr>
        <w:ind w:left="369" w:hanging="255"/>
      </w:pPr>
      <w:r>
        <w:rPr>
          <w:b/>
        </w:rPr>
        <w:t xml:space="preserve">4. </w:t>
      </w:r>
      <w:r>
        <w:t>Which material cross-sections are mandatory: 3, 11, 21 or adaptive?</w:t>
      </w:r>
    </w:p>
    <w:p>
      <w:pPr>
        <w:ind w:left="369" w:hanging="255"/>
      </w:pPr>
      <w:r>
        <w:rPr>
          <w:b/>
        </w:rPr>
        <w:t xml:space="preserve">5. </w:t>
      </w:r>
      <w:r>
        <w:t>Which grades and chemical compositions are available for the first material-property dataset?</w:t>
      </w:r>
    </w:p>
    <w:p>
      <w:pPr>
        <w:ind w:left="369" w:hanging="255"/>
      </w:pPr>
      <w:r>
        <w:rPr>
          <w:b/>
        </w:rPr>
        <w:t xml:space="preserve">6. </w:t>
      </w:r>
      <w:r>
        <w:t>Are descaling/interstand header pressure, flow, water temperature and top/bottom states available?</w:t>
      </w:r>
    </w:p>
    <w:p>
      <w:pPr>
        <w:ind w:left="369" w:hanging="255"/>
      </w:pPr>
      <w:r>
        <w:rPr>
          <w:b/>
        </w:rPr>
        <w:t xml:space="preserve">7. </w:t>
      </w:r>
      <w:r>
        <w:t>Which induction topology and frequency ranges must the first source-profile abstraction cover?</w:t>
      </w:r>
    </w:p>
    <w:p>
      <w:pPr>
        <w:ind w:left="369" w:hanging="255"/>
      </w:pPr>
      <w:r>
        <w:rPr>
          <w:b/>
        </w:rPr>
        <w:t xml:space="preserve">8. </w:t>
      </w:r>
      <w:r>
        <w:t>Should absorbed thermal power or estimated electrical supply power be the primary induction output?</w:t>
      </w:r>
    </w:p>
    <w:p>
      <w:pPr>
        <w:ind w:left="369" w:hanging="255"/>
      </w:pPr>
      <w:r>
        <w:rPr>
          <w:b/>
        </w:rPr>
        <w:t xml:space="preserve">9. </w:t>
      </w:r>
      <w:r>
        <w:t>Which device temperatures from current TRoll calculations are suitable only for regression comparison, and which plant measurements are available for validation?</w:t>
      </w:r>
    </w:p>
    <w:p>
      <w:pPr>
        <w:ind w:left="369" w:hanging="255"/>
      </w:pPr>
      <w:r>
        <w:rPr>
          <w:b/>
        </w:rPr>
        <w:t xml:space="preserve">10. </w:t>
      </w:r>
      <w:r>
        <w:t>Should the canonical project be plain JSON or a packaged project archive containing JSON, material tables and attachments?</w:t>
      </w:r>
    </w:p>
    <w:p>
      <w:pPr>
        <w:pStyle w:val="Heading1"/>
      </w:pPr>
      <w:r>
        <w:t>14. Nomenclature</w:t>
      </w:r>
    </w:p>
    <w:tbl>
      <w:tblPr>
        <w:tblStyle w:val="TableGrid"/>
        <w:tblW w:type="auto" w:w="0"/>
        <w:jc w:val="center"/>
        <w:tblLook w:firstColumn="1" w:firstRow="1" w:lastColumn="0" w:lastRow="0" w:noHBand="0" w:noVBand="1" w:val="04A0"/>
      </w:tblPr>
      <w:tblGrid>
        <w:gridCol w:w="3175"/>
        <w:gridCol w:w="3175"/>
        <w:gridCol w:w="3175"/>
      </w:tblGrid>
      <w:tr>
        <w:trPr>
          <w:cantSplit/>
        </w:trPr>
        <w:tc>
          <w:tcPr>
            <w:tcW w:type="dxa" w:w="3175"/>
            <w:tcMar>
              <w:top w:w="80" w:type="dxa"/>
              <w:start w:w="100" w:type="dxa"/>
              <w:bottom w:w="80" w:type="dxa"/>
              <w:end w:w="100" w:type="dxa"/>
            </w:tcMar>
            <w:vAlign w:val="center"/>
            <w:shd w:fill="17365D"/>
          </w:tcPr>
          <w:p>
            <w:pPr>
              <w:spacing w:after="0"/>
            </w:pPr>
            <w:r>
              <w:rPr>
                <w:b/>
                <w:color w:val="FFFFFF"/>
                <w:sz w:val="17"/>
              </w:rPr>
              <w:t>Symbol</w:t>
            </w:r>
          </w:p>
        </w:tc>
        <w:tc>
          <w:tcPr>
            <w:tcW w:type="dxa" w:w="3175"/>
            <w:tcMar>
              <w:top w:w="80" w:type="dxa"/>
              <w:start w:w="100" w:type="dxa"/>
              <w:bottom w:w="80" w:type="dxa"/>
              <w:end w:w="100" w:type="dxa"/>
            </w:tcMar>
            <w:vAlign w:val="center"/>
            <w:shd w:fill="17365D"/>
          </w:tcPr>
          <w:p>
            <w:pPr>
              <w:spacing w:after="0"/>
            </w:pPr>
            <w:r>
              <w:rPr>
                <w:b/>
                <w:color w:val="FFFFFF"/>
                <w:sz w:val="17"/>
              </w:rPr>
              <w:t>Meaning</w:t>
            </w:r>
          </w:p>
        </w:tc>
        <w:tc>
          <w:tcPr>
            <w:tcW w:type="dxa" w:w="3175"/>
            <w:tcMar>
              <w:top w:w="80" w:type="dxa"/>
              <w:start w:w="100" w:type="dxa"/>
              <w:bottom w:w="80" w:type="dxa"/>
              <w:end w:w="100" w:type="dxa"/>
            </w:tcMar>
            <w:vAlign w:val="center"/>
            <w:shd w:fill="17365D"/>
          </w:tcPr>
          <w:p>
            <w:pPr>
              <w:spacing w:after="0"/>
            </w:pPr>
            <w:r>
              <w:rPr>
                <w:b/>
                <w:color w:val="FFFFFF"/>
                <w:sz w:val="17"/>
              </w:rPr>
              <w:t>Unit</w:t>
            </w:r>
          </w:p>
        </w:tc>
      </w:tr>
      <w:tr>
        <w:trPr>
          <w:cantSplit/>
        </w:trPr>
        <w:tc>
          <w:tcPr>
            <w:tcW w:type="dxa" w:w="3175"/>
            <w:tcMar>
              <w:top w:w="80" w:type="dxa"/>
              <w:start w:w="100" w:type="dxa"/>
              <w:bottom w:w="80" w:type="dxa"/>
              <w:end w:w="100" w:type="dxa"/>
            </w:tcMar>
            <w:vAlign w:val="center"/>
          </w:tcPr>
          <w:p>
            <w:pPr>
              <w:spacing w:after="0"/>
            </w:pPr>
            <w:r>
              <w:rPr>
                <w:rFonts w:ascii="Cambria Math" w:hAnsi="Cambria Math" w:eastAsia="Cambria Math"/>
                <w:sz w:val="17"/>
              </w:rPr>
              <w:t>s</w:t>
            </w:r>
          </w:p>
        </w:tc>
        <w:tc>
          <w:tcPr>
            <w:tcW w:type="dxa" w:w="3175"/>
            <w:tcMar>
              <w:top w:w="80" w:type="dxa"/>
              <w:start w:w="100" w:type="dxa"/>
              <w:bottom w:w="80" w:type="dxa"/>
              <w:end w:w="100" w:type="dxa"/>
            </w:tcMar>
            <w:vAlign w:val="center"/>
          </w:tcPr>
          <w:p>
            <w:pPr>
              <w:spacing w:after="0"/>
            </w:pPr>
            <w:r>
              <w:rPr>
                <w:sz w:val="17"/>
              </w:rPr>
              <w:t>Normalised Lagrangian coordinate along material</w:t>
            </w:r>
          </w:p>
        </w:tc>
        <w:tc>
          <w:tcPr>
            <w:tcW w:type="dxa" w:w="3175"/>
            <w:tcMar>
              <w:top w:w="80" w:type="dxa"/>
              <w:start w:w="100" w:type="dxa"/>
              <w:bottom w:w="80" w:type="dxa"/>
              <w:end w:w="100" w:type="dxa"/>
            </w:tcMar>
            <w:vAlign w:val="center"/>
          </w:tcPr>
          <w:p>
            <w:pPr>
              <w:spacing w:after="0"/>
            </w:pPr>
            <w:r>
              <w:rPr>
                <w:sz w:val="17"/>
              </w:rPr>
              <w:t>—</w:t>
            </w:r>
          </w:p>
        </w:tc>
      </w:tr>
      <w:tr>
        <w:trPr>
          <w:cantSplit/>
        </w:trPr>
        <w:tc>
          <w:tcPr>
            <w:tcW w:type="dxa" w:w="3175"/>
            <w:tcMar>
              <w:top w:w="80" w:type="dxa"/>
              <w:start w:w="100" w:type="dxa"/>
              <w:bottom w:w="80" w:type="dxa"/>
              <w:end w:w="100" w:type="dxa"/>
            </w:tcMar>
            <w:vAlign w:val="center"/>
            <w:shd w:fill="EDF4FA"/>
          </w:tcPr>
          <w:p>
            <w:pPr>
              <w:spacing w:after="0"/>
            </w:pPr>
            <w:r>
              <w:rPr>
                <w:rFonts w:ascii="Cambria Math" w:hAnsi="Cambria Math" w:eastAsia="Cambria Math"/>
                <w:sz w:val="17"/>
              </w:rPr>
              <w:t>z</w:t>
            </w:r>
          </w:p>
        </w:tc>
        <w:tc>
          <w:tcPr>
            <w:tcW w:type="dxa" w:w="3175"/>
            <w:tcMar>
              <w:top w:w="80" w:type="dxa"/>
              <w:start w:w="100" w:type="dxa"/>
              <w:bottom w:w="80" w:type="dxa"/>
              <w:end w:w="100" w:type="dxa"/>
            </w:tcMar>
            <w:vAlign w:val="center"/>
            <w:shd w:fill="EDF4FA"/>
          </w:tcPr>
          <w:p>
            <w:pPr>
              <w:spacing w:after="0"/>
            </w:pPr>
            <w:r>
              <w:rPr>
                <w:sz w:val="17"/>
              </w:rPr>
              <w:t>Coordinate through thickness</w:t>
            </w:r>
          </w:p>
        </w:tc>
        <w:tc>
          <w:tcPr>
            <w:tcW w:type="dxa" w:w="3175"/>
            <w:tcMar>
              <w:top w:w="80" w:type="dxa"/>
              <w:start w:w="100" w:type="dxa"/>
              <w:bottom w:w="80" w:type="dxa"/>
              <w:end w:w="100" w:type="dxa"/>
            </w:tcMar>
            <w:vAlign w:val="center"/>
            <w:shd w:fill="EDF4FA"/>
          </w:tcPr>
          <w:p>
            <w:pPr>
              <w:spacing w:after="0"/>
            </w:pPr>
            <w:r>
              <w:rPr>
                <w:sz w:val="17"/>
              </w:rPr>
              <w:t>m</w:t>
            </w:r>
          </w:p>
        </w:tc>
      </w:tr>
      <w:tr>
        <w:trPr>
          <w:cantSplit/>
        </w:trPr>
        <w:tc>
          <w:tcPr>
            <w:tcW w:type="dxa" w:w="3175"/>
            <w:tcMar>
              <w:top w:w="80" w:type="dxa"/>
              <w:start w:w="100" w:type="dxa"/>
              <w:bottom w:w="80" w:type="dxa"/>
              <w:end w:w="100" w:type="dxa"/>
            </w:tcMar>
            <w:vAlign w:val="center"/>
          </w:tcPr>
          <w:p>
            <w:pPr>
              <w:spacing w:after="0"/>
            </w:pPr>
            <w:r>
              <w:rPr>
                <w:rFonts w:ascii="Cambria Math" w:hAnsi="Cambria Math" w:eastAsia="Cambria Math"/>
                <w:sz w:val="17"/>
              </w:rPr>
              <w:t>η</w:t>
            </w:r>
          </w:p>
        </w:tc>
        <w:tc>
          <w:tcPr>
            <w:tcW w:type="dxa" w:w="3175"/>
            <w:tcMar>
              <w:top w:w="80" w:type="dxa"/>
              <w:start w:w="100" w:type="dxa"/>
              <w:bottom w:w="80" w:type="dxa"/>
              <w:end w:w="100" w:type="dxa"/>
            </w:tcMar>
            <w:vAlign w:val="center"/>
          </w:tcPr>
          <w:p>
            <w:pPr>
              <w:spacing w:after="0"/>
            </w:pPr>
            <w:r>
              <w:rPr>
                <w:sz w:val="17"/>
              </w:rPr>
              <w:t>Normalised through-thickness coordinate</w:t>
            </w:r>
          </w:p>
        </w:tc>
        <w:tc>
          <w:tcPr>
            <w:tcW w:type="dxa" w:w="3175"/>
            <w:tcMar>
              <w:top w:w="80" w:type="dxa"/>
              <w:start w:w="100" w:type="dxa"/>
              <w:bottom w:w="80" w:type="dxa"/>
              <w:end w:w="100" w:type="dxa"/>
            </w:tcMar>
            <w:vAlign w:val="center"/>
          </w:tcPr>
          <w:p>
            <w:pPr>
              <w:spacing w:after="0"/>
            </w:pPr>
            <w:r>
              <w:rPr>
                <w:sz w:val="17"/>
              </w:rPr>
              <w:t>—</w:t>
            </w:r>
          </w:p>
        </w:tc>
      </w:tr>
      <w:tr>
        <w:trPr>
          <w:cantSplit/>
        </w:trPr>
        <w:tc>
          <w:tcPr>
            <w:tcW w:type="dxa" w:w="3175"/>
            <w:tcMar>
              <w:top w:w="80" w:type="dxa"/>
              <w:start w:w="100" w:type="dxa"/>
              <w:bottom w:w="80" w:type="dxa"/>
              <w:end w:w="100" w:type="dxa"/>
            </w:tcMar>
            <w:vAlign w:val="center"/>
            <w:shd w:fill="EDF4FA"/>
          </w:tcPr>
          <w:p>
            <w:pPr>
              <w:spacing w:after="0"/>
            </w:pPr>
            <w:r>
              <w:rPr>
                <w:rFonts w:ascii="Cambria Math" w:hAnsi="Cambria Math" w:eastAsia="Cambria Math"/>
                <w:sz w:val="17"/>
              </w:rPr>
              <w:t>H</w:t>
            </w:r>
          </w:p>
        </w:tc>
        <w:tc>
          <w:tcPr>
            <w:tcW w:type="dxa" w:w="3175"/>
            <w:tcMar>
              <w:top w:w="80" w:type="dxa"/>
              <w:start w:w="100" w:type="dxa"/>
              <w:bottom w:w="80" w:type="dxa"/>
              <w:end w:w="100" w:type="dxa"/>
            </w:tcMar>
            <w:vAlign w:val="center"/>
            <w:shd w:fill="EDF4FA"/>
          </w:tcPr>
          <w:p>
            <w:pPr>
              <w:spacing w:after="0"/>
            </w:pPr>
            <w:r>
              <w:rPr>
                <w:sz w:val="17"/>
              </w:rPr>
              <w:t>Local strip thickness</w:t>
            </w:r>
          </w:p>
        </w:tc>
        <w:tc>
          <w:tcPr>
            <w:tcW w:type="dxa" w:w="3175"/>
            <w:tcMar>
              <w:top w:w="80" w:type="dxa"/>
              <w:start w:w="100" w:type="dxa"/>
              <w:bottom w:w="80" w:type="dxa"/>
              <w:end w:w="100" w:type="dxa"/>
            </w:tcMar>
            <w:vAlign w:val="center"/>
            <w:shd w:fill="EDF4FA"/>
          </w:tcPr>
          <w:p>
            <w:pPr>
              <w:spacing w:after="0"/>
            </w:pPr>
            <w:r>
              <w:rPr>
                <w:sz w:val="17"/>
              </w:rPr>
              <w:t>m in equations</w:t>
            </w:r>
          </w:p>
        </w:tc>
      </w:tr>
      <w:tr>
        <w:trPr>
          <w:cantSplit/>
        </w:trPr>
        <w:tc>
          <w:tcPr>
            <w:tcW w:type="dxa" w:w="3175"/>
            <w:tcMar>
              <w:top w:w="80" w:type="dxa"/>
              <w:start w:w="100" w:type="dxa"/>
              <w:bottom w:w="80" w:type="dxa"/>
              <w:end w:w="100" w:type="dxa"/>
            </w:tcMar>
            <w:vAlign w:val="center"/>
          </w:tcPr>
          <w:p>
            <w:pPr>
              <w:spacing w:after="0"/>
            </w:pPr>
            <w:r>
              <w:rPr>
                <w:rFonts w:ascii="Cambria Math" w:hAnsi="Cambria Math" w:eastAsia="Cambria Math"/>
                <w:sz w:val="17"/>
              </w:rPr>
              <w:t>T</w:t>
            </w:r>
          </w:p>
        </w:tc>
        <w:tc>
          <w:tcPr>
            <w:tcW w:type="dxa" w:w="3175"/>
            <w:tcMar>
              <w:top w:w="80" w:type="dxa"/>
              <w:start w:w="100" w:type="dxa"/>
              <w:bottom w:w="80" w:type="dxa"/>
              <w:end w:w="100" w:type="dxa"/>
            </w:tcMar>
            <w:vAlign w:val="center"/>
          </w:tcPr>
          <w:p>
            <w:pPr>
              <w:spacing w:after="0"/>
            </w:pPr>
            <w:r>
              <w:rPr>
                <w:sz w:val="17"/>
              </w:rPr>
              <w:t>Temperature</w:t>
            </w:r>
          </w:p>
        </w:tc>
        <w:tc>
          <w:tcPr>
            <w:tcW w:type="dxa" w:w="3175"/>
            <w:tcMar>
              <w:top w:w="80" w:type="dxa"/>
              <w:start w:w="100" w:type="dxa"/>
              <w:bottom w:w="80" w:type="dxa"/>
              <w:end w:w="100" w:type="dxa"/>
            </w:tcMar>
            <w:vAlign w:val="center"/>
          </w:tcPr>
          <w:p>
            <w:pPr>
              <w:spacing w:after="0"/>
            </w:pPr>
            <w:r>
              <w:rPr>
                <w:sz w:val="17"/>
              </w:rPr>
              <w:t>K or °C as declared</w:t>
            </w:r>
          </w:p>
        </w:tc>
      </w:tr>
      <w:tr>
        <w:trPr>
          <w:cantSplit/>
        </w:trPr>
        <w:tc>
          <w:tcPr>
            <w:tcW w:type="dxa" w:w="3175"/>
            <w:tcMar>
              <w:top w:w="80" w:type="dxa"/>
              <w:start w:w="100" w:type="dxa"/>
              <w:bottom w:w="80" w:type="dxa"/>
              <w:end w:w="100" w:type="dxa"/>
            </w:tcMar>
            <w:vAlign w:val="center"/>
            <w:shd w:fill="EDF4FA"/>
          </w:tcPr>
          <w:p>
            <w:pPr>
              <w:spacing w:after="0"/>
            </w:pPr>
            <w:r>
              <w:rPr>
                <w:rFonts w:ascii="Cambria Math" w:hAnsi="Cambria Math" w:eastAsia="Cambria Math"/>
                <w:sz w:val="17"/>
              </w:rPr>
              <w:t>h</w:t>
            </w:r>
          </w:p>
        </w:tc>
        <w:tc>
          <w:tcPr>
            <w:tcW w:type="dxa" w:w="3175"/>
            <w:tcMar>
              <w:top w:w="80" w:type="dxa"/>
              <w:start w:w="100" w:type="dxa"/>
              <w:bottom w:w="80" w:type="dxa"/>
              <w:end w:w="100" w:type="dxa"/>
            </w:tcMar>
            <w:vAlign w:val="center"/>
            <w:shd w:fill="EDF4FA"/>
          </w:tcPr>
          <w:p>
            <w:pPr>
              <w:spacing w:after="0"/>
            </w:pPr>
            <w:r>
              <w:rPr>
                <w:sz w:val="17"/>
              </w:rPr>
              <w:t>Specific enthalpy</w:t>
            </w:r>
          </w:p>
        </w:tc>
        <w:tc>
          <w:tcPr>
            <w:tcW w:type="dxa" w:w="3175"/>
            <w:tcMar>
              <w:top w:w="80" w:type="dxa"/>
              <w:start w:w="100" w:type="dxa"/>
              <w:bottom w:w="80" w:type="dxa"/>
              <w:end w:w="100" w:type="dxa"/>
            </w:tcMar>
            <w:vAlign w:val="center"/>
            <w:shd w:fill="EDF4FA"/>
          </w:tcPr>
          <w:p>
            <w:pPr>
              <w:spacing w:after="0"/>
            </w:pPr>
            <w:r>
              <w:rPr>
                <w:sz w:val="17"/>
              </w:rPr>
              <w:t>J/kg</w:t>
            </w:r>
          </w:p>
        </w:tc>
      </w:tr>
      <w:tr>
        <w:trPr>
          <w:cantSplit/>
        </w:trPr>
        <w:tc>
          <w:tcPr>
            <w:tcW w:type="dxa" w:w="3175"/>
            <w:tcMar>
              <w:top w:w="80" w:type="dxa"/>
              <w:start w:w="100" w:type="dxa"/>
              <w:bottom w:w="80" w:type="dxa"/>
              <w:end w:w="100" w:type="dxa"/>
            </w:tcMar>
            <w:vAlign w:val="center"/>
          </w:tcPr>
          <w:p>
            <w:pPr>
              <w:spacing w:after="0"/>
            </w:pPr>
            <w:r>
              <w:rPr>
                <w:rFonts w:ascii="Cambria Math" w:hAnsi="Cambria Math" w:eastAsia="Cambria Math"/>
                <w:sz w:val="17"/>
              </w:rPr>
              <w:t>ρ</w:t>
            </w:r>
          </w:p>
        </w:tc>
        <w:tc>
          <w:tcPr>
            <w:tcW w:type="dxa" w:w="3175"/>
            <w:tcMar>
              <w:top w:w="80" w:type="dxa"/>
              <w:start w:w="100" w:type="dxa"/>
              <w:bottom w:w="80" w:type="dxa"/>
              <w:end w:w="100" w:type="dxa"/>
            </w:tcMar>
            <w:vAlign w:val="center"/>
          </w:tcPr>
          <w:p>
            <w:pPr>
              <w:spacing w:after="0"/>
            </w:pPr>
            <w:r>
              <w:rPr>
                <w:sz w:val="17"/>
              </w:rPr>
              <w:t>Density</w:t>
            </w:r>
          </w:p>
        </w:tc>
        <w:tc>
          <w:tcPr>
            <w:tcW w:type="dxa" w:w="3175"/>
            <w:tcMar>
              <w:top w:w="80" w:type="dxa"/>
              <w:start w:w="100" w:type="dxa"/>
              <w:bottom w:w="80" w:type="dxa"/>
              <w:end w:w="100" w:type="dxa"/>
            </w:tcMar>
            <w:vAlign w:val="center"/>
          </w:tcPr>
          <w:p>
            <w:pPr>
              <w:spacing w:after="0"/>
            </w:pPr>
            <w:r>
              <w:rPr>
                <w:sz w:val="17"/>
              </w:rPr>
              <w:t>kg/m³</w:t>
            </w:r>
          </w:p>
        </w:tc>
      </w:tr>
      <w:tr>
        <w:trPr>
          <w:cantSplit/>
        </w:trPr>
        <w:tc>
          <w:tcPr>
            <w:tcW w:type="dxa" w:w="3175"/>
            <w:tcMar>
              <w:top w:w="80" w:type="dxa"/>
              <w:start w:w="100" w:type="dxa"/>
              <w:bottom w:w="80" w:type="dxa"/>
              <w:end w:w="100" w:type="dxa"/>
            </w:tcMar>
            <w:vAlign w:val="center"/>
            <w:shd w:fill="EDF4FA"/>
          </w:tcPr>
          <w:p>
            <w:pPr>
              <w:spacing w:after="0"/>
            </w:pPr>
            <w:r>
              <w:rPr>
                <w:rFonts w:ascii="Cambria Math" w:hAnsi="Cambria Math" w:eastAsia="Cambria Math"/>
                <w:sz w:val="17"/>
              </w:rPr>
              <w:t>k</w:t>
            </w:r>
          </w:p>
        </w:tc>
        <w:tc>
          <w:tcPr>
            <w:tcW w:type="dxa" w:w="3175"/>
            <w:tcMar>
              <w:top w:w="80" w:type="dxa"/>
              <w:start w:w="100" w:type="dxa"/>
              <w:bottom w:w="80" w:type="dxa"/>
              <w:end w:w="100" w:type="dxa"/>
            </w:tcMar>
            <w:vAlign w:val="center"/>
            <w:shd w:fill="EDF4FA"/>
          </w:tcPr>
          <w:p>
            <w:pPr>
              <w:spacing w:after="0"/>
            </w:pPr>
            <w:r>
              <w:rPr>
                <w:sz w:val="17"/>
              </w:rPr>
              <w:t>Thermal conductivity</w:t>
            </w:r>
          </w:p>
        </w:tc>
        <w:tc>
          <w:tcPr>
            <w:tcW w:type="dxa" w:w="3175"/>
            <w:tcMar>
              <w:top w:w="80" w:type="dxa"/>
              <w:start w:w="100" w:type="dxa"/>
              <w:bottom w:w="80" w:type="dxa"/>
              <w:end w:w="100" w:type="dxa"/>
            </w:tcMar>
            <w:vAlign w:val="center"/>
            <w:shd w:fill="EDF4FA"/>
          </w:tcPr>
          <w:p>
            <w:pPr>
              <w:spacing w:after="0"/>
            </w:pPr>
            <w:r>
              <w:rPr>
                <w:sz w:val="17"/>
              </w:rPr>
              <w:t>W/(m·K)</w:t>
            </w:r>
          </w:p>
        </w:tc>
      </w:tr>
      <w:tr>
        <w:trPr>
          <w:cantSplit/>
        </w:trPr>
        <w:tc>
          <w:tcPr>
            <w:tcW w:type="dxa" w:w="3175"/>
            <w:tcMar>
              <w:top w:w="80" w:type="dxa"/>
              <w:start w:w="100" w:type="dxa"/>
              <w:bottom w:w="80" w:type="dxa"/>
              <w:end w:w="100" w:type="dxa"/>
            </w:tcMar>
            <w:vAlign w:val="center"/>
          </w:tcPr>
          <w:p>
            <w:pPr>
              <w:spacing w:after="0"/>
            </w:pPr>
            <w:r>
              <w:rPr>
                <w:rFonts w:ascii="Cambria Math" w:hAnsi="Cambria Math" w:eastAsia="Cambria Math"/>
                <w:sz w:val="17"/>
              </w:rPr>
              <w:t>c_p</w:t>
            </w:r>
          </w:p>
        </w:tc>
        <w:tc>
          <w:tcPr>
            <w:tcW w:type="dxa" w:w="3175"/>
            <w:tcMar>
              <w:top w:w="80" w:type="dxa"/>
              <w:start w:w="100" w:type="dxa"/>
              <w:bottom w:w="80" w:type="dxa"/>
              <w:end w:w="100" w:type="dxa"/>
            </w:tcMar>
            <w:vAlign w:val="center"/>
          </w:tcPr>
          <w:p>
            <w:pPr>
              <w:spacing w:after="0"/>
            </w:pPr>
            <w:r>
              <w:rPr>
                <w:sz w:val="17"/>
              </w:rPr>
              <w:t>Specific heat capacity</w:t>
            </w:r>
          </w:p>
        </w:tc>
        <w:tc>
          <w:tcPr>
            <w:tcW w:type="dxa" w:w="3175"/>
            <w:tcMar>
              <w:top w:w="80" w:type="dxa"/>
              <w:start w:w="100" w:type="dxa"/>
              <w:bottom w:w="80" w:type="dxa"/>
              <w:end w:w="100" w:type="dxa"/>
            </w:tcMar>
            <w:vAlign w:val="center"/>
          </w:tcPr>
          <w:p>
            <w:pPr>
              <w:spacing w:after="0"/>
            </w:pPr>
            <w:r>
              <w:rPr>
                <w:sz w:val="17"/>
              </w:rPr>
              <w:t>J/(kg·K)</w:t>
            </w:r>
          </w:p>
        </w:tc>
      </w:tr>
      <w:tr>
        <w:trPr>
          <w:cantSplit/>
        </w:trPr>
        <w:tc>
          <w:tcPr>
            <w:tcW w:type="dxa" w:w="3175"/>
            <w:tcMar>
              <w:top w:w="80" w:type="dxa"/>
              <w:start w:w="100" w:type="dxa"/>
              <w:bottom w:w="80" w:type="dxa"/>
              <w:end w:w="100" w:type="dxa"/>
            </w:tcMar>
            <w:vAlign w:val="center"/>
            <w:shd w:fill="EDF4FA"/>
          </w:tcPr>
          <w:p>
            <w:pPr>
              <w:spacing w:after="0"/>
            </w:pPr>
            <w:r>
              <w:rPr>
                <w:rFonts w:ascii="Cambria Math" w:hAnsi="Cambria Math" w:eastAsia="Cambria Math"/>
                <w:sz w:val="17"/>
              </w:rPr>
              <w:t>ε</w:t>
            </w:r>
          </w:p>
        </w:tc>
        <w:tc>
          <w:tcPr>
            <w:tcW w:type="dxa" w:w="3175"/>
            <w:tcMar>
              <w:top w:w="80" w:type="dxa"/>
              <w:start w:w="100" w:type="dxa"/>
              <w:bottom w:w="80" w:type="dxa"/>
              <w:end w:w="100" w:type="dxa"/>
            </w:tcMar>
            <w:vAlign w:val="center"/>
            <w:shd w:fill="EDF4FA"/>
          </w:tcPr>
          <w:p>
            <w:pPr>
              <w:spacing w:after="0"/>
            </w:pPr>
            <w:r>
              <w:rPr>
                <w:sz w:val="17"/>
              </w:rPr>
              <w:t>Effective emissivity</w:t>
            </w:r>
          </w:p>
        </w:tc>
        <w:tc>
          <w:tcPr>
            <w:tcW w:type="dxa" w:w="3175"/>
            <w:tcMar>
              <w:top w:w="80" w:type="dxa"/>
              <w:start w:w="100" w:type="dxa"/>
              <w:bottom w:w="80" w:type="dxa"/>
              <w:end w:w="100" w:type="dxa"/>
            </w:tcMar>
            <w:vAlign w:val="center"/>
            <w:shd w:fill="EDF4FA"/>
          </w:tcPr>
          <w:p>
            <w:pPr>
              <w:spacing w:after="0"/>
            </w:pPr>
            <w:r>
              <w:rPr>
                <w:sz w:val="17"/>
              </w:rPr>
              <w:t>—</w:t>
            </w:r>
          </w:p>
        </w:tc>
      </w:tr>
      <w:tr>
        <w:trPr>
          <w:cantSplit/>
        </w:trPr>
        <w:tc>
          <w:tcPr>
            <w:tcW w:type="dxa" w:w="3175"/>
            <w:tcMar>
              <w:top w:w="80" w:type="dxa"/>
              <w:start w:w="100" w:type="dxa"/>
              <w:bottom w:w="80" w:type="dxa"/>
              <w:end w:w="100" w:type="dxa"/>
            </w:tcMar>
            <w:vAlign w:val="center"/>
          </w:tcPr>
          <w:p>
            <w:pPr>
              <w:spacing w:after="0"/>
            </w:pPr>
            <w:r>
              <w:rPr>
                <w:rFonts w:ascii="Cambria Math" w:hAnsi="Cambria Math" w:eastAsia="Cambria Math"/>
                <w:sz w:val="17"/>
              </w:rPr>
              <w:t>σ</w:t>
            </w:r>
          </w:p>
        </w:tc>
        <w:tc>
          <w:tcPr>
            <w:tcW w:type="dxa" w:w="3175"/>
            <w:tcMar>
              <w:top w:w="80" w:type="dxa"/>
              <w:start w:w="100" w:type="dxa"/>
              <w:bottom w:w="80" w:type="dxa"/>
              <w:end w:w="100" w:type="dxa"/>
            </w:tcMar>
            <w:vAlign w:val="center"/>
          </w:tcPr>
          <w:p>
            <w:pPr>
              <w:spacing w:after="0"/>
            </w:pPr>
            <w:r>
              <w:rPr>
                <w:sz w:val="17"/>
              </w:rPr>
              <w:t>Stefan–Boltzmann constant</w:t>
            </w:r>
          </w:p>
        </w:tc>
        <w:tc>
          <w:tcPr>
            <w:tcW w:type="dxa" w:w="3175"/>
            <w:tcMar>
              <w:top w:w="80" w:type="dxa"/>
              <w:start w:w="100" w:type="dxa"/>
              <w:bottom w:w="80" w:type="dxa"/>
              <w:end w:w="100" w:type="dxa"/>
            </w:tcMar>
            <w:vAlign w:val="center"/>
          </w:tcPr>
          <w:p>
            <w:pPr>
              <w:spacing w:after="0"/>
            </w:pPr>
            <w:r>
              <w:rPr>
                <w:sz w:val="17"/>
              </w:rPr>
              <w:t>W/(m²·K⁴)</w:t>
            </w:r>
          </w:p>
        </w:tc>
      </w:tr>
      <w:tr>
        <w:trPr>
          <w:cantSplit/>
        </w:trPr>
        <w:tc>
          <w:tcPr>
            <w:tcW w:type="dxa" w:w="3175"/>
            <w:tcMar>
              <w:top w:w="80" w:type="dxa"/>
              <w:start w:w="100" w:type="dxa"/>
              <w:bottom w:w="80" w:type="dxa"/>
              <w:end w:w="100" w:type="dxa"/>
            </w:tcMar>
            <w:vAlign w:val="center"/>
            <w:shd w:fill="EDF4FA"/>
          </w:tcPr>
          <w:p>
            <w:pPr>
              <w:spacing w:after="0"/>
            </w:pPr>
            <w:r>
              <w:rPr>
                <w:rFonts w:ascii="Cambria Math" w:hAnsi="Cambria Math" w:eastAsia="Cambria Math"/>
                <w:sz w:val="17"/>
              </w:rPr>
              <w:t>q''</w:t>
            </w:r>
          </w:p>
        </w:tc>
        <w:tc>
          <w:tcPr>
            <w:tcW w:type="dxa" w:w="3175"/>
            <w:tcMar>
              <w:top w:w="80" w:type="dxa"/>
              <w:start w:w="100" w:type="dxa"/>
              <w:bottom w:w="80" w:type="dxa"/>
              <w:end w:w="100" w:type="dxa"/>
            </w:tcMar>
            <w:vAlign w:val="center"/>
            <w:shd w:fill="EDF4FA"/>
          </w:tcPr>
          <w:p>
            <w:pPr>
              <w:spacing w:after="0"/>
            </w:pPr>
            <w:r>
              <w:rPr>
                <w:sz w:val="17"/>
              </w:rPr>
              <w:t>Surface heat flux</w:t>
            </w:r>
          </w:p>
        </w:tc>
        <w:tc>
          <w:tcPr>
            <w:tcW w:type="dxa" w:w="3175"/>
            <w:tcMar>
              <w:top w:w="80" w:type="dxa"/>
              <w:start w:w="100" w:type="dxa"/>
              <w:bottom w:w="80" w:type="dxa"/>
              <w:end w:w="100" w:type="dxa"/>
            </w:tcMar>
            <w:vAlign w:val="center"/>
            <w:shd w:fill="EDF4FA"/>
          </w:tcPr>
          <w:p>
            <w:pPr>
              <w:spacing w:after="0"/>
            </w:pPr>
            <w:r>
              <w:rPr>
                <w:sz w:val="17"/>
              </w:rPr>
              <w:t>W/m²</w:t>
            </w:r>
          </w:p>
        </w:tc>
      </w:tr>
      <w:tr>
        <w:trPr>
          <w:cantSplit/>
        </w:trPr>
        <w:tc>
          <w:tcPr>
            <w:tcW w:type="dxa" w:w="3175"/>
            <w:tcMar>
              <w:top w:w="80" w:type="dxa"/>
              <w:start w:w="100" w:type="dxa"/>
              <w:bottom w:w="80" w:type="dxa"/>
              <w:end w:w="100" w:type="dxa"/>
            </w:tcMar>
            <w:vAlign w:val="center"/>
          </w:tcPr>
          <w:p>
            <w:pPr>
              <w:spacing w:after="0"/>
            </w:pPr>
            <w:r>
              <w:rPr>
                <w:rFonts w:ascii="Cambria Math" w:hAnsi="Cambria Math" w:eastAsia="Cambria Math"/>
                <w:sz w:val="17"/>
              </w:rPr>
              <w:t>q̇'''</w:t>
            </w:r>
          </w:p>
        </w:tc>
        <w:tc>
          <w:tcPr>
            <w:tcW w:type="dxa" w:w="3175"/>
            <w:tcMar>
              <w:top w:w="80" w:type="dxa"/>
              <w:start w:w="100" w:type="dxa"/>
              <w:bottom w:w="80" w:type="dxa"/>
              <w:end w:w="100" w:type="dxa"/>
            </w:tcMar>
            <w:vAlign w:val="center"/>
          </w:tcPr>
          <w:p>
            <w:pPr>
              <w:spacing w:after="0"/>
            </w:pPr>
            <w:r>
              <w:rPr>
                <w:sz w:val="17"/>
              </w:rPr>
              <w:t>Volumetric heat generation</w:t>
            </w:r>
          </w:p>
        </w:tc>
        <w:tc>
          <w:tcPr>
            <w:tcW w:type="dxa" w:w="3175"/>
            <w:tcMar>
              <w:top w:w="80" w:type="dxa"/>
              <w:start w:w="100" w:type="dxa"/>
              <w:bottom w:w="80" w:type="dxa"/>
              <w:end w:w="100" w:type="dxa"/>
            </w:tcMar>
            <w:vAlign w:val="center"/>
          </w:tcPr>
          <w:p>
            <w:pPr>
              <w:spacing w:after="0"/>
            </w:pPr>
            <w:r>
              <w:rPr>
                <w:sz w:val="17"/>
              </w:rPr>
              <w:t>W/m³</w:t>
            </w:r>
          </w:p>
        </w:tc>
      </w:tr>
      <w:tr>
        <w:trPr>
          <w:cantSplit/>
        </w:trPr>
        <w:tc>
          <w:tcPr>
            <w:tcW w:type="dxa" w:w="3175"/>
            <w:tcMar>
              <w:top w:w="80" w:type="dxa"/>
              <w:start w:w="100" w:type="dxa"/>
              <w:bottom w:w="80" w:type="dxa"/>
              <w:end w:w="100" w:type="dxa"/>
            </w:tcMar>
            <w:vAlign w:val="center"/>
            <w:shd w:fill="EDF4FA"/>
          </w:tcPr>
          <w:p>
            <w:pPr>
              <w:spacing w:after="0"/>
            </w:pPr>
            <w:r>
              <w:rPr>
                <w:rFonts w:ascii="Cambria Math" w:hAnsi="Cambria Math" w:eastAsia="Cambria Math"/>
                <w:sz w:val="17"/>
              </w:rPr>
              <w:t>P_abs</w:t>
            </w:r>
          </w:p>
        </w:tc>
        <w:tc>
          <w:tcPr>
            <w:tcW w:type="dxa" w:w="3175"/>
            <w:tcMar>
              <w:top w:w="80" w:type="dxa"/>
              <w:start w:w="100" w:type="dxa"/>
              <w:bottom w:w="80" w:type="dxa"/>
              <w:end w:w="100" w:type="dxa"/>
            </w:tcMar>
            <w:vAlign w:val="center"/>
            <w:shd w:fill="EDF4FA"/>
          </w:tcPr>
          <w:p>
            <w:pPr>
              <w:spacing w:after="0"/>
            </w:pPr>
            <w:r>
              <w:rPr>
                <w:sz w:val="17"/>
              </w:rPr>
              <w:t>Thermal power absorbed in material</w:t>
            </w:r>
          </w:p>
        </w:tc>
        <w:tc>
          <w:tcPr>
            <w:tcW w:type="dxa" w:w="3175"/>
            <w:tcMar>
              <w:top w:w="80" w:type="dxa"/>
              <w:start w:w="100" w:type="dxa"/>
              <w:bottom w:w="80" w:type="dxa"/>
              <w:end w:w="100" w:type="dxa"/>
            </w:tcMar>
            <w:vAlign w:val="center"/>
            <w:shd w:fill="EDF4FA"/>
          </w:tcPr>
          <w:p>
            <w:pPr>
              <w:spacing w:after="0"/>
            </w:pPr>
            <w:r>
              <w:rPr>
                <w:sz w:val="17"/>
              </w:rPr>
              <w:t>W</w:t>
            </w:r>
          </w:p>
        </w:tc>
      </w:tr>
      <w:tr>
        <w:trPr>
          <w:cantSplit/>
        </w:trPr>
        <w:tc>
          <w:tcPr>
            <w:tcW w:type="dxa" w:w="3175"/>
            <w:tcMar>
              <w:top w:w="80" w:type="dxa"/>
              <w:start w:w="100" w:type="dxa"/>
              <w:bottom w:w="80" w:type="dxa"/>
              <w:end w:w="100" w:type="dxa"/>
            </w:tcMar>
            <w:vAlign w:val="center"/>
          </w:tcPr>
          <w:p>
            <w:pPr>
              <w:spacing w:after="0"/>
            </w:pPr>
            <w:r>
              <w:rPr>
                <w:rFonts w:ascii="Cambria Math" w:hAnsi="Cambria Math" w:eastAsia="Cambria Math"/>
                <w:sz w:val="17"/>
              </w:rPr>
              <w:t>P_electric</w:t>
            </w:r>
          </w:p>
        </w:tc>
        <w:tc>
          <w:tcPr>
            <w:tcW w:type="dxa" w:w="3175"/>
            <w:tcMar>
              <w:top w:w="80" w:type="dxa"/>
              <w:start w:w="100" w:type="dxa"/>
              <w:bottom w:w="80" w:type="dxa"/>
              <w:end w:w="100" w:type="dxa"/>
            </w:tcMar>
            <w:vAlign w:val="center"/>
          </w:tcPr>
          <w:p>
            <w:pPr>
              <w:spacing w:after="0"/>
            </w:pPr>
            <w:r>
              <w:rPr>
                <w:sz w:val="17"/>
              </w:rPr>
              <w:t>Electrical supply power</w:t>
            </w:r>
          </w:p>
        </w:tc>
        <w:tc>
          <w:tcPr>
            <w:tcW w:type="dxa" w:w="3175"/>
            <w:tcMar>
              <w:top w:w="80" w:type="dxa"/>
              <w:start w:w="100" w:type="dxa"/>
              <w:bottom w:w="80" w:type="dxa"/>
              <w:end w:w="100" w:type="dxa"/>
            </w:tcMar>
            <w:vAlign w:val="center"/>
          </w:tcPr>
          <w:p>
            <w:pPr>
              <w:spacing w:after="0"/>
            </w:pPr>
            <w:r>
              <w:rPr>
                <w:sz w:val="17"/>
              </w:rPr>
              <w:t>W</w:t>
            </w:r>
          </w:p>
        </w:tc>
      </w:tr>
      <w:tr>
        <w:trPr>
          <w:cantSplit/>
        </w:trPr>
        <w:tc>
          <w:tcPr>
            <w:tcW w:type="dxa" w:w="3175"/>
            <w:tcMar>
              <w:top w:w="80" w:type="dxa"/>
              <w:start w:w="100" w:type="dxa"/>
              <w:bottom w:w="80" w:type="dxa"/>
              <w:end w:w="100" w:type="dxa"/>
            </w:tcMar>
            <w:vAlign w:val="center"/>
            <w:shd w:fill="EDF4FA"/>
          </w:tcPr>
          <w:p>
            <w:pPr>
              <w:spacing w:after="0"/>
            </w:pPr>
            <w:r>
              <w:rPr>
                <w:rFonts w:ascii="Cambria Math" w:hAnsi="Cambria Math" w:eastAsia="Cambria Math"/>
                <w:sz w:val="17"/>
              </w:rPr>
              <w:t>η_system</w:t>
            </w:r>
          </w:p>
        </w:tc>
        <w:tc>
          <w:tcPr>
            <w:tcW w:type="dxa" w:w="3175"/>
            <w:tcMar>
              <w:top w:w="80" w:type="dxa"/>
              <w:start w:w="100" w:type="dxa"/>
              <w:bottom w:w="80" w:type="dxa"/>
              <w:end w:w="100" w:type="dxa"/>
            </w:tcMar>
            <w:vAlign w:val="center"/>
            <w:shd w:fill="EDF4FA"/>
          </w:tcPr>
          <w:p>
            <w:pPr>
              <w:spacing w:after="0"/>
            </w:pPr>
            <w:r>
              <w:rPr>
                <w:sz w:val="17"/>
              </w:rPr>
              <w:t>Electrical-to-thermal efficiency</w:t>
            </w:r>
          </w:p>
        </w:tc>
        <w:tc>
          <w:tcPr>
            <w:tcW w:type="dxa" w:w="3175"/>
            <w:tcMar>
              <w:top w:w="80" w:type="dxa"/>
              <w:start w:w="100" w:type="dxa"/>
              <w:bottom w:w="80" w:type="dxa"/>
              <w:end w:w="100" w:type="dxa"/>
            </w:tcMar>
            <w:vAlign w:val="center"/>
            <w:shd w:fill="EDF4FA"/>
          </w:tcPr>
          <w:p>
            <w:pPr>
              <w:spacing w:after="0"/>
            </w:pPr>
            <w:r>
              <w:rPr>
                <w:sz w:val="17"/>
              </w:rPr>
              <w:t>—</w:t>
            </w:r>
          </w:p>
        </w:tc>
      </w:tr>
    </w:tbl>
    <w:p>
      <w:pPr>
        <w:spacing w:after="0"/>
      </w:pPr>
    </w:p>
    <w:p>
      <w:pPr>
        <w:pStyle w:val="Heading1"/>
      </w:pPr>
      <w:r>
        <w:t>15. Selected references</w:t>
      </w:r>
    </w:p>
    <w:p>
      <w:pPr>
        <w:ind w:left="369" w:hanging="255"/>
      </w:pPr>
      <w:r>
        <w:rPr>
          <w:b/>
        </w:rPr>
        <w:t xml:space="preserve">1. </w:t>
      </w:r>
      <w:r>
        <w:t xml:space="preserve">Devadas, C.; Samarasekera, I. V.; Hawbolt, E. B. “The thermal and metallurgical state of steel strip during hot rolling: Part I. Characterization of heat transfer.” </w:t>
      </w:r>
      <w:r>
        <w:rPr>
          <w:i/>
        </w:rPr>
        <w:t>Metallurgical Transactions A</w:t>
      </w:r>
      <w:r>
        <w:t xml:space="preserve"> 22 (1991), 307–319. DOI: 10.1007/BF02656800.</w:t>
      </w:r>
    </w:p>
    <w:p>
      <w:pPr>
        <w:ind w:left="369" w:hanging="255"/>
      </w:pPr>
      <w:r>
        <w:rPr>
          <w:b/>
        </w:rPr>
        <w:t xml:space="preserve">2. </w:t>
      </w:r>
      <w:r>
        <w:t xml:space="preserve">Chen, W. C.; Samarasekera, I. V.; Hawbolt, E. B. “Fundamental phenomena governing heat transfer during rolling.” </w:t>
      </w:r>
      <w:r>
        <w:rPr>
          <w:i/>
        </w:rPr>
        <w:t>Metallurgical Transactions A</w:t>
      </w:r>
      <w:r>
        <w:t xml:space="preserve"> 24 (1993), 1307–1320. DOI: 10.1007/BF02668199.</w:t>
      </w:r>
    </w:p>
    <w:p>
      <w:pPr>
        <w:ind w:left="369" w:hanging="255"/>
      </w:pPr>
      <w:r>
        <w:rPr>
          <w:b/>
        </w:rPr>
        <w:t xml:space="preserve">3. </w:t>
      </w:r>
      <w:r>
        <w:t xml:space="preserve">Speicher, K.; Steinboeck, A.; Wild, D.; Kiefer, T.; Kugi, A. “An integrated thermal model of hot rolling.” </w:t>
      </w:r>
      <w:r>
        <w:rPr>
          <w:i/>
        </w:rPr>
        <w:t>Mathematical and Computer Modelling of Dynamical Systems</w:t>
      </w:r>
      <w:r>
        <w:t xml:space="preserve"> 20(1) (2014), 66–86. DOI: 10.1080/13873954.2013.809364.</w:t>
      </w:r>
    </w:p>
    <w:p>
      <w:pPr>
        <w:ind w:left="369" w:hanging="255"/>
      </w:pPr>
      <w:r>
        <w:rPr>
          <w:b/>
        </w:rPr>
        <w:t xml:space="preserve">4. </w:t>
      </w:r>
      <w:r>
        <w:t xml:space="preserve">Brimacombe, J. K.; Samarasekera, I. V.; Hawbolt, E. B.; Militzer, M. et al. </w:t>
      </w:r>
      <w:r>
        <w:rPr>
          <w:i/>
        </w:rPr>
        <w:t>Microstructure Engineering in Hot Strip Mills: Integrated Mathematical Model</w:t>
      </w:r>
      <w:r>
        <w:t>, AISI/US DOE project report, 1998.</w:t>
      </w:r>
    </w:p>
    <w:p>
      <w:pPr>
        <w:ind w:left="369" w:hanging="255"/>
      </w:pPr>
      <w:r>
        <w:rPr>
          <w:b/>
        </w:rPr>
        <w:t xml:space="preserve">5. </w:t>
      </w:r>
      <w:r>
        <w:t xml:space="preserve">Thermo-Calc Software. </w:t>
      </w:r>
      <w:r>
        <w:rPr>
          <w:i/>
        </w:rPr>
        <w:t>TCS Steel and Fe-Alloys Database (TCFE), technical information</w:t>
      </w:r>
      <w:r>
        <w:t>, current database documentation.</w:t>
      </w:r>
    </w:p>
    <w:p>
      <w:pPr>
        <w:ind w:left="369" w:hanging="255"/>
      </w:pPr>
      <w:r>
        <w:rPr>
          <w:b/>
        </w:rPr>
        <w:t xml:space="preserve">6. </w:t>
      </w:r>
      <w:r>
        <w:t xml:space="preserve">Sente Software. </w:t>
      </w:r>
      <w:r>
        <w:rPr>
          <w:i/>
        </w:rPr>
        <w:t>JMatPro — material properties and phase-transformation modelling for multicomponent alloys</w:t>
      </w:r>
      <w:r>
        <w:t>, current product and technical documentation.</w:t>
      </w:r>
    </w:p>
    <w:p>
      <w:pPr>
        <w:ind w:left="369" w:hanging="255"/>
      </w:pPr>
      <w:r>
        <w:rPr>
          <w:b/>
        </w:rPr>
        <w:t xml:space="preserve">7. </w:t>
      </w:r>
      <w:r>
        <w:t xml:space="preserve">Roetzer, F.; Aschauer, A.; Jadachowski, L.; Steinboeck, A.; Kugi, A. “Temperature Control for Induction Heating of Thin Strips.” </w:t>
      </w:r>
      <w:r>
        <w:rPr>
          <w:i/>
        </w:rPr>
        <w:t>IFAC-PapersOnLine</w:t>
      </w:r>
      <w:r>
        <w:t xml:space="preserve"> 53(2) (2020), 11968–11973. DOI: 10.1016/j.ifacol.2020.12.722.</w:t>
      </w:r>
    </w:p>
    <w:sectPr w:rsidR="00FC693F" w:rsidRPr="0006063C" w:rsidSect="00034616">
      <w:headerReference w:type="default" r:id="rId9"/>
      <w:footerReference w:type="default" r:id="rId10"/>
      <w:pgSz w:w="11906" w:h="16838"/>
      <w:pgMar w:top="1191"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separate"/>
      <w:fldChar w:fldCharType="end"/>
    </w:r>
    <w:r>
      <w:rPr>
        <w:sz w:val="16"/>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F5597"/>
        <w:sz w:val="16"/>
      </w:rPr>
      <w:t>TRoll Evolves  |  Thermal Model Physical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eastAsia="Aptos Display"/>
      <w:b/>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note">
    <w:name w:val="Equation note"/>
    <w:pPr>
      <w:jc w:val="center"/>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TRoll Evolves — Thermal Model Physical Specification</dc:title>
  <dc:subject>Physical and numerical specification for the P3 thermal model</dc:subject>
  <dc:creator>TRoll Evolves project</dc:creator>
  <cp:keywords>hot rolling, thermal model, induction heating, descaling, interstand cooling</cp:keywords>
  <dc:description>Discussion draft 0.1</dc:description>
  <cp:lastModifiedBy/>
  <cp:revision>1</cp:revision>
  <dcterms:created xsi:type="dcterms:W3CDTF">2013-12-23T23:15:00Z</dcterms:created>
  <dcterms:modified xsi:type="dcterms:W3CDTF">2013-12-23T23:15:00Z</dcterms:modified>
  <cp:category/>
</cp:coreProperties>
</file>