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7A91" w14:textId="2CC9D2EB" w:rsidR="001B7979" w:rsidRPr="00827A07" w:rsidRDefault="00292295" w:rsidP="00E91116">
      <w:pPr>
        <w:pStyle w:val="AxsumaHeader"/>
      </w:pPr>
      <w:r w:rsidRPr="00292295">
        <w:t>UK Ready-Made Packages for M&amp;A, Restructuring, and Joint Ventures</w:t>
      </w:r>
    </w:p>
    <w:p w14:paraId="03E5F1C2" w14:textId="3B36E4DC" w:rsidR="001B7979" w:rsidRPr="008453BC" w:rsidRDefault="00483BE4" w:rsidP="00E91116">
      <w:pPr>
        <w:pStyle w:val="AxsumaSubHeader1"/>
      </w:pPr>
      <w:r w:rsidRPr="00483BE4">
        <w:t>Readiness Solutions for Complex Corporate Transactions</w:t>
      </w:r>
    </w:p>
    <w:p w14:paraId="1AD3D4DE" w14:textId="77777777" w:rsidR="00A27309" w:rsidRP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In the fast-paced environment of complex corporate transactions, timing is critical. Complex deal structures, regulatory hurdles, and aggressive timelines mean there is zero margin for administrative delay. We know that as dealmakers, your focus belongs on negotiation, strategy, and execution — not on the distraction of the corporate administration aspects.</w:t>
      </w:r>
    </w:p>
    <w:p w14:paraId="71D3D678" w14:textId="77777777" w:rsidR="00A27309" w:rsidRP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Axsuma streamlines the process. We support lawyers, corporates, and private equity firms with pre-established corporate structures purpose-built for fast-moving M&amp;A, restructuring, and carve-outs. We handle the essential administrative groundwork, providing the speed and structural certainty required to close the deal. Beyond completion, we ensure all entities remain fully compliant across their regulatory, accounting, tax, and payroll obligations.</w:t>
      </w:r>
    </w:p>
    <w:p w14:paraId="6F5B68CA" w14:textId="5FA0EA10" w:rsidR="00A27309" w:rsidRPr="00A27309" w:rsidRDefault="00A27309" w:rsidP="00437844">
      <w:pPr>
        <w:pStyle w:val="AxsumaSubHeader1"/>
        <w:tabs>
          <w:tab w:val="clear" w:pos="8222"/>
        </w:tabs>
        <w:rPr>
          <w:rFonts w:ascii="DM Sans 14pt Light" w:hAnsi="DM Sans 14pt Light"/>
          <w:sz w:val="18"/>
          <w:szCs w:val="18"/>
        </w:rPr>
      </w:pPr>
      <w:r w:rsidRPr="00A27309">
        <w:t>Transaction-Ready Corporate Stacks</w:t>
      </w:r>
    </w:p>
    <w:p w14:paraId="673EB57A" w14:textId="77777777" w:rsidR="00A27309" w:rsidRP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Delays in entity formation, governance setup, or appointing directors can create unnecessary friction during sensitive deal phases. Our solution eliminates these risks.</w:t>
      </w:r>
    </w:p>
    <w:p w14:paraId="7FC659F6" w14:textId="77777777" w:rsidR="00A27309" w:rsidRP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We offer ready-made HoldCo, MidCo, and BidCo entities available for immediate reservation. These structures are securely held to order exclusively for law firms and advisors, allowing you to focus on deal structuring and negotiation without administrative bottlenecks.</w:t>
      </w:r>
    </w:p>
    <w:p w14:paraId="0D3C9441" w14:textId="77777777" w:rsidR="00A27309" w:rsidRPr="00A27309" w:rsidRDefault="00A27309" w:rsidP="00437844">
      <w:pPr>
        <w:pStyle w:val="AxsumaSubHeader1"/>
        <w:tabs>
          <w:tab w:val="clear" w:pos="8222"/>
        </w:tabs>
      </w:pPr>
      <w:r w:rsidRPr="00A27309">
        <w:t>The Ready-Made Corporate Stack</w:t>
      </w:r>
    </w:p>
    <w:p w14:paraId="6810383C" w14:textId="77777777" w:rsid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Our fully aligned three-tier acquisition structure is configurable to specific transaction requirements. All entities are established with clean corporate records, dormant status, and are maintained in good standing.</w:t>
      </w:r>
    </w:p>
    <w:p w14:paraId="12AC9274" w14:textId="1953481A" w:rsidR="00CA7C8F" w:rsidRDefault="00CA7C8F" w:rsidP="00437844">
      <w:pPr>
        <w:pStyle w:val="BodyText3"/>
        <w:ind w:left="0" w:right="119"/>
        <w:rPr>
          <w:rFonts w:ascii="DM Sans 14pt Light" w:hAnsi="DM Sans 14pt Light" w:cs="Arial"/>
          <w:sz w:val="18"/>
          <w:szCs w:val="18"/>
        </w:rPr>
      </w:pPr>
      <w:r>
        <w:rPr>
          <w:rFonts w:ascii="DM Sans 14pt Light" w:hAnsi="DM Sans 14pt Light" w:cs="Arial"/>
          <w:noProof/>
          <w:sz w:val="18"/>
          <w:szCs w:val="18"/>
          <w14:ligatures w14:val="standardContextual"/>
        </w:rPr>
        <mc:AlternateContent>
          <mc:Choice Requires="wps">
            <w:drawing>
              <wp:anchor distT="0" distB="0" distL="114300" distR="114300" simplePos="0" relativeHeight="251663360" behindDoc="0" locked="0" layoutInCell="1" allowOverlap="1" wp14:anchorId="331691C8" wp14:editId="4D50E289">
                <wp:simplePos x="0" y="0"/>
                <wp:positionH relativeFrom="column">
                  <wp:posOffset>3983355</wp:posOffset>
                </wp:positionH>
                <wp:positionV relativeFrom="paragraph">
                  <wp:posOffset>164465</wp:posOffset>
                </wp:positionV>
                <wp:extent cx="1800000" cy="900000"/>
                <wp:effectExtent l="0" t="0" r="0" b="0"/>
                <wp:wrapNone/>
                <wp:docPr id="947707814" name="Rectangle 2">
                  <a:extLst xmlns:a="http://schemas.openxmlformats.org/drawingml/2006/main">
                    <a:ext uri="{FF2B5EF4-FFF2-40B4-BE49-F238E27FC236}">
                      <a16:creationId xmlns:a16="http://schemas.microsoft.com/office/drawing/2014/main" id="{33736015-6B52-4C1A-9DC8-CA24CB33115E}"/>
                    </a:ext>
                  </a:extLst>
                </wp:docPr>
                <wp:cNvGraphicFramePr/>
                <a:graphic xmlns:a="http://schemas.openxmlformats.org/drawingml/2006/main">
                  <a:graphicData uri="http://schemas.microsoft.com/office/word/2010/wordprocessingShape">
                    <wps:wsp>
                      <wps:cNvSpPr/>
                      <wps:spPr>
                        <a:xfrm>
                          <a:off x="0" y="0"/>
                          <a:ext cx="1800000" cy="900000"/>
                        </a:xfrm>
                        <a:prstGeom prst="rect">
                          <a:avLst/>
                        </a:prstGeom>
                        <a:solidFill>
                          <a:srgbClr val="0F4C3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9F91EE" w14:textId="77777777" w:rsidR="00F66167" w:rsidRPr="00E51429" w:rsidRDefault="00F92FEE" w:rsidP="00F66167">
                            <w:pPr>
                              <w:pStyle w:val="BodyText3"/>
                              <w:spacing w:before="0" w:after="0" w:line="240" w:lineRule="atLeast"/>
                              <w:ind w:left="0" w:right="119"/>
                              <w:jc w:val="center"/>
                              <w:rPr>
                                <w:rFonts w:ascii="DM Sans 14pt SemiBold" w:hAnsi="DM Sans 14pt SemiBold" w:cs="Arial"/>
                                <w:sz w:val="18"/>
                                <w:szCs w:val="18"/>
                              </w:rPr>
                            </w:pPr>
                            <w:r w:rsidRPr="00E51429">
                              <w:rPr>
                                <w:rFonts w:ascii="DM Sans 14pt SemiBold" w:hAnsi="DM Sans 14pt SemiBold" w:cs="Arial"/>
                                <w:sz w:val="18"/>
                                <w:szCs w:val="18"/>
                              </w:rPr>
                              <w:t>BidC</w:t>
                            </w:r>
                            <w:r w:rsidR="00F66167" w:rsidRPr="00E51429">
                              <w:rPr>
                                <w:rFonts w:ascii="DM Sans 14pt SemiBold" w:hAnsi="DM Sans 14pt SemiBold" w:cs="Arial"/>
                                <w:sz w:val="18"/>
                                <w:szCs w:val="18"/>
                              </w:rPr>
                              <w:t>o</w:t>
                            </w:r>
                          </w:p>
                          <w:p w14:paraId="330F8341" w14:textId="66AE38B7" w:rsidR="00F92FEE" w:rsidRPr="00A27309" w:rsidRDefault="00F66167" w:rsidP="00F66167">
                            <w:pPr>
                              <w:pStyle w:val="BodyText3"/>
                              <w:spacing w:before="0" w:after="0" w:line="240" w:lineRule="atLeast"/>
                              <w:ind w:left="0" w:right="119"/>
                              <w:jc w:val="center"/>
                              <w:rPr>
                                <w:rFonts w:ascii="DM Sans 14pt Light" w:hAnsi="DM Sans 14pt Light" w:cs="Arial"/>
                                <w:sz w:val="18"/>
                                <w:szCs w:val="18"/>
                              </w:rPr>
                            </w:pPr>
                            <w:r>
                              <w:rPr>
                                <w:rFonts w:ascii="DM Sans 14pt Light" w:hAnsi="DM Sans 14pt Light" w:cs="Arial"/>
                                <w:sz w:val="18"/>
                                <w:szCs w:val="18"/>
                              </w:rPr>
                              <w:t>A</w:t>
                            </w:r>
                            <w:r w:rsidR="00F92FEE" w:rsidRPr="00A27309">
                              <w:rPr>
                                <w:rFonts w:ascii="DM Sans 14pt Light" w:hAnsi="DM Sans 14pt Light" w:cs="Arial"/>
                                <w:sz w:val="18"/>
                                <w:szCs w:val="18"/>
                              </w:rPr>
                              <w:t>cquisition vehicle; purpose-built to execute the purchase and receive assets or shares at closing.</w:t>
                            </w:r>
                          </w:p>
                          <w:p w14:paraId="2CA19153" w14:textId="77777777" w:rsidR="00F92FEE" w:rsidRDefault="00F92FEE" w:rsidP="00F66167">
                            <w:pPr>
                              <w:spacing w:after="0" w:line="240" w:lineRule="atLeast"/>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691C8" id="Rectangle 2" o:spid="_x0000_s1026" style="position:absolute;left:0;text-align:left;margin-left:313.65pt;margin-top:12.95pt;width:141.75pt;height:70.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" fillcolor="#0f4c3a" stroked="f" strokeweight="1.5pt">
                <v:textbox>
                  <w:txbxContent>
                    <w:p w14:paraId="4A9F91EE" w14:textId="77777777" w:rsidR="00F66167" w:rsidRPr="00E51429" w:rsidRDefault="00F92FEE" w:rsidP="00F66167">
                      <w:pPr>
                        <w:pStyle w:val="BodyText3"/>
                        <w:spacing w:before="0" w:after="0" w:line="240" w:lineRule="atLeast"/>
                        <w:ind w:left="0" w:right="119"/>
                        <w:jc w:val="center"/>
                        <w:rPr>
                          <w:rFonts w:ascii="DM Sans 14pt SemiBold" w:hAnsi="DM Sans 14pt SemiBold" w:cs="Arial"/>
                          <w:sz w:val="18"/>
                          <w:szCs w:val="18"/>
                        </w:rPr>
                      </w:pPr>
                      <w:r w:rsidRPr="00E51429">
                        <w:rPr>
                          <w:rFonts w:ascii="DM Sans 14pt SemiBold" w:hAnsi="DM Sans 14pt SemiBold" w:cs="Arial"/>
                          <w:sz w:val="18"/>
                          <w:szCs w:val="18"/>
                        </w:rPr>
                        <w:t>BidC</w:t>
                      </w:r>
                      <w:r w:rsidR="00F66167" w:rsidRPr="00E51429">
                        <w:rPr>
                          <w:rFonts w:ascii="DM Sans 14pt SemiBold" w:hAnsi="DM Sans 14pt SemiBold" w:cs="Arial"/>
                          <w:sz w:val="18"/>
                          <w:szCs w:val="18"/>
                        </w:rPr>
                        <w:t>o</w:t>
                      </w:r>
                    </w:p>
                    <w:p w14:paraId="330F8341" w14:textId="66AE38B7" w:rsidR="00F92FEE" w:rsidRPr="00A27309" w:rsidRDefault="00F66167" w:rsidP="00F66167">
                      <w:pPr>
                        <w:pStyle w:val="BodyText3"/>
                        <w:spacing w:before="0" w:after="0" w:line="240" w:lineRule="atLeast"/>
                        <w:ind w:left="0" w:right="119"/>
                        <w:jc w:val="center"/>
                        <w:rPr>
                          <w:rFonts w:ascii="DM Sans 14pt Light" w:hAnsi="DM Sans 14pt Light" w:cs="Arial"/>
                          <w:sz w:val="18"/>
                          <w:szCs w:val="18"/>
                        </w:rPr>
                      </w:pPr>
                      <w:r>
                        <w:rPr>
                          <w:rFonts w:ascii="DM Sans 14pt Light" w:hAnsi="DM Sans 14pt Light" w:cs="Arial"/>
                          <w:sz w:val="18"/>
                          <w:szCs w:val="18"/>
                        </w:rPr>
                        <w:t>A</w:t>
                      </w:r>
                      <w:r w:rsidR="00F92FEE" w:rsidRPr="00A27309">
                        <w:rPr>
                          <w:rFonts w:ascii="DM Sans 14pt Light" w:hAnsi="DM Sans 14pt Light" w:cs="Arial"/>
                          <w:sz w:val="18"/>
                          <w:szCs w:val="18"/>
                        </w:rPr>
                        <w:t>cquisition vehicle; purpose-built to execute the purchase and receive assets or shares at closing.</w:t>
                      </w:r>
                    </w:p>
                    <w:p w14:paraId="2CA19153" w14:textId="77777777" w:rsidR="00F92FEE" w:rsidRDefault="00F92FEE" w:rsidP="00F66167">
                      <w:pPr>
                        <w:spacing w:after="0" w:line="240" w:lineRule="atLeast"/>
                        <w:jc w:val="center"/>
                      </w:pPr>
                    </w:p>
                  </w:txbxContent>
                </v:textbox>
              </v:rect>
            </w:pict>
          </mc:Fallback>
        </mc:AlternateContent>
      </w:r>
      <w:r>
        <w:rPr>
          <w:rFonts w:ascii="DM Sans 14pt Light" w:hAnsi="DM Sans 14pt Light" w:cs="Arial"/>
          <w:noProof/>
          <w:sz w:val="18"/>
          <w:szCs w:val="18"/>
          <w14:ligatures w14:val="standardContextual"/>
        </w:rPr>
        <mc:AlternateContent>
          <mc:Choice Requires="wps">
            <w:drawing>
              <wp:anchor distT="0" distB="0" distL="114300" distR="114300" simplePos="0" relativeHeight="251661312" behindDoc="0" locked="0" layoutInCell="1" allowOverlap="1" wp14:anchorId="1E5DD532" wp14:editId="1DEB658E">
                <wp:simplePos x="0" y="0"/>
                <wp:positionH relativeFrom="column">
                  <wp:posOffset>1995170</wp:posOffset>
                </wp:positionH>
                <wp:positionV relativeFrom="paragraph">
                  <wp:posOffset>166370</wp:posOffset>
                </wp:positionV>
                <wp:extent cx="1800000" cy="900000"/>
                <wp:effectExtent l="0" t="0" r="0" b="0"/>
                <wp:wrapNone/>
                <wp:docPr id="1221338674" name="Rectangle 2">
                  <a:extLst xmlns:a="http://schemas.openxmlformats.org/drawingml/2006/main">
                    <a:ext uri="{FF2B5EF4-FFF2-40B4-BE49-F238E27FC236}">
                      <a16:creationId xmlns:a16="http://schemas.microsoft.com/office/drawing/2014/main" id="{7BEB6677-D727-41FB-8E92-D3EAE4D8E284}"/>
                    </a:ext>
                  </a:extLst>
                </wp:docPr>
                <wp:cNvGraphicFramePr/>
                <a:graphic xmlns:a="http://schemas.openxmlformats.org/drawingml/2006/main">
                  <a:graphicData uri="http://schemas.microsoft.com/office/word/2010/wordprocessingShape">
                    <wps:wsp>
                      <wps:cNvSpPr/>
                      <wps:spPr>
                        <a:xfrm>
                          <a:off x="0" y="0"/>
                          <a:ext cx="1800000" cy="900000"/>
                        </a:xfrm>
                        <a:prstGeom prst="rect">
                          <a:avLst/>
                        </a:prstGeom>
                        <a:solidFill>
                          <a:srgbClr val="0F4C3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37D5BB" w14:textId="77777777" w:rsidR="00F66167" w:rsidRPr="00E51429" w:rsidRDefault="00F92FEE" w:rsidP="00F66167">
                            <w:pPr>
                              <w:spacing w:after="0" w:line="240" w:lineRule="atLeast"/>
                              <w:jc w:val="center"/>
                              <w:rPr>
                                <w:rFonts w:ascii="DM Sans 14pt SemiBold" w:hAnsi="DM Sans 14pt SemiBold" w:cs="Arial"/>
                                <w:sz w:val="18"/>
                                <w:szCs w:val="18"/>
                              </w:rPr>
                            </w:pPr>
                            <w:r w:rsidRPr="00E51429">
                              <w:rPr>
                                <w:rFonts w:ascii="DM Sans 14pt SemiBold" w:hAnsi="DM Sans 14pt SemiBold" w:cs="Arial"/>
                                <w:sz w:val="18"/>
                                <w:szCs w:val="18"/>
                              </w:rPr>
                              <w:t>MidCo</w:t>
                            </w:r>
                          </w:p>
                          <w:p w14:paraId="4C2E0E67" w14:textId="51B69A50" w:rsidR="00F92FEE" w:rsidRDefault="00F66167" w:rsidP="00F66167">
                            <w:pPr>
                              <w:spacing w:after="0" w:line="240" w:lineRule="atLeast"/>
                              <w:jc w:val="center"/>
                            </w:pPr>
                            <w:r>
                              <w:rPr>
                                <w:rFonts w:ascii="DM Sans 14pt Light" w:hAnsi="DM Sans 14pt Light" w:cs="Arial"/>
                                <w:sz w:val="18"/>
                                <w:szCs w:val="18"/>
                              </w:rPr>
                              <w:t>I</w:t>
                            </w:r>
                            <w:r w:rsidR="00F92FEE" w:rsidRPr="00A27309">
                              <w:rPr>
                                <w:rFonts w:ascii="DM Sans 14pt Light" w:hAnsi="DM Sans 14pt Light" w:cs="Arial"/>
                                <w:sz w:val="18"/>
                                <w:szCs w:val="18"/>
                              </w:rPr>
                              <w:t>ntermediary holding entity; designed for structural flexibility and risk segregation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DD532" id="_x0000_s1027" style="position:absolute;left:0;text-align:left;margin-left:157.1pt;margin-top:13.1pt;width:141.75pt;height:7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" fillcolor="#0f4c3a" stroked="f" strokeweight="1.5pt">
                <v:textbox>
                  <w:txbxContent>
                    <w:p w14:paraId="2337D5BB" w14:textId="77777777" w:rsidR="00F66167" w:rsidRPr="00E51429" w:rsidRDefault="00F92FEE" w:rsidP="00F66167">
                      <w:pPr>
                        <w:spacing w:after="0" w:line="240" w:lineRule="atLeast"/>
                        <w:jc w:val="center"/>
                        <w:rPr>
                          <w:rFonts w:ascii="DM Sans 14pt SemiBold" w:hAnsi="DM Sans 14pt SemiBold" w:cs="Arial"/>
                          <w:sz w:val="18"/>
                          <w:szCs w:val="18"/>
                        </w:rPr>
                      </w:pPr>
                      <w:r w:rsidRPr="00E51429">
                        <w:rPr>
                          <w:rFonts w:ascii="DM Sans 14pt SemiBold" w:hAnsi="DM Sans 14pt SemiBold" w:cs="Arial"/>
                          <w:sz w:val="18"/>
                          <w:szCs w:val="18"/>
                        </w:rPr>
                        <w:t>MidCo</w:t>
                      </w:r>
                    </w:p>
                    <w:p w14:paraId="4C2E0E67" w14:textId="51B69A50" w:rsidR="00F92FEE" w:rsidRDefault="00F66167" w:rsidP="00F66167">
                      <w:pPr>
                        <w:spacing w:after="0" w:line="240" w:lineRule="atLeast"/>
                        <w:jc w:val="center"/>
                      </w:pPr>
                      <w:r>
                        <w:rPr>
                          <w:rFonts w:ascii="DM Sans 14pt Light" w:hAnsi="DM Sans 14pt Light" w:cs="Arial"/>
                          <w:sz w:val="18"/>
                          <w:szCs w:val="18"/>
                        </w:rPr>
                        <w:t>I</w:t>
                      </w:r>
                      <w:r w:rsidR="00F92FEE" w:rsidRPr="00A27309">
                        <w:rPr>
                          <w:rFonts w:ascii="DM Sans 14pt Light" w:hAnsi="DM Sans 14pt Light" w:cs="Arial"/>
                          <w:sz w:val="18"/>
                          <w:szCs w:val="18"/>
                        </w:rPr>
                        <w:t>ntermediary holding entity; designed for structural flexibility and risk segregation</w:t>
                      </w:r>
                    </w:p>
                  </w:txbxContent>
                </v:textbox>
              </v:rect>
            </w:pict>
          </mc:Fallback>
        </mc:AlternateContent>
      </w:r>
      <w:r>
        <w:rPr>
          <w:rFonts w:ascii="DM Sans 14pt Light" w:hAnsi="DM Sans 14pt Light" w:cs="Arial"/>
          <w:noProof/>
          <w:sz w:val="18"/>
          <w:szCs w:val="18"/>
          <w14:ligatures w14:val="standardContextual"/>
        </w:rPr>
        <mc:AlternateContent>
          <mc:Choice Requires="wps">
            <w:drawing>
              <wp:anchor distT="0" distB="0" distL="114300" distR="114300" simplePos="0" relativeHeight="251659264" behindDoc="0" locked="0" layoutInCell="1" allowOverlap="1" wp14:anchorId="2680FA0B" wp14:editId="5A7993B5">
                <wp:simplePos x="0" y="0"/>
                <wp:positionH relativeFrom="column">
                  <wp:posOffset>7620</wp:posOffset>
                </wp:positionH>
                <wp:positionV relativeFrom="paragraph">
                  <wp:posOffset>163195</wp:posOffset>
                </wp:positionV>
                <wp:extent cx="1800000" cy="900000"/>
                <wp:effectExtent l="0" t="0" r="0" b="0"/>
                <wp:wrapNone/>
                <wp:docPr id="37184168" name="Rectangle 2">
                  <a:extLst xmlns:a="http://schemas.openxmlformats.org/drawingml/2006/main">
                    <a:ext uri="{FF2B5EF4-FFF2-40B4-BE49-F238E27FC236}">
                      <a16:creationId xmlns:a16="http://schemas.microsoft.com/office/drawing/2014/main" id="{403B1639-A57F-4CC0-9985-5E3349C2111F}"/>
                    </a:ext>
                  </a:extLst>
                </wp:docPr>
                <wp:cNvGraphicFramePr/>
                <a:graphic xmlns:a="http://schemas.openxmlformats.org/drawingml/2006/main">
                  <a:graphicData uri="http://schemas.microsoft.com/office/word/2010/wordprocessingShape">
                    <wps:wsp>
                      <wps:cNvSpPr/>
                      <wps:spPr>
                        <a:xfrm>
                          <a:off x="0" y="0"/>
                          <a:ext cx="1800000" cy="900000"/>
                        </a:xfrm>
                        <a:prstGeom prst="rect">
                          <a:avLst/>
                        </a:prstGeom>
                        <a:solidFill>
                          <a:srgbClr val="0F4C3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70D918" w14:textId="77777777" w:rsidR="00F92FEE" w:rsidRPr="00E51429" w:rsidRDefault="00F92FEE" w:rsidP="00F92FEE">
                            <w:pPr>
                              <w:spacing w:after="0" w:line="240" w:lineRule="atLeast"/>
                              <w:jc w:val="center"/>
                              <w:rPr>
                                <w:rFonts w:ascii="DM Sans 14pt SemiBold" w:hAnsi="DM Sans 14pt SemiBold" w:cs="Arial"/>
                                <w:sz w:val="18"/>
                                <w:szCs w:val="18"/>
                              </w:rPr>
                            </w:pPr>
                            <w:r w:rsidRPr="00E51429">
                              <w:rPr>
                                <w:rFonts w:ascii="DM Sans 14pt SemiBold" w:hAnsi="DM Sans 14pt SemiBold" w:cs="Arial"/>
                                <w:sz w:val="18"/>
                                <w:szCs w:val="18"/>
                              </w:rPr>
                              <w:t>HoldCo</w:t>
                            </w:r>
                          </w:p>
                          <w:p w14:paraId="40B92B5E" w14:textId="28E63AF7" w:rsidR="00F92FEE" w:rsidRDefault="00F92FEE" w:rsidP="00F92FEE">
                            <w:pPr>
                              <w:spacing w:after="0" w:line="240" w:lineRule="atLeast"/>
                              <w:jc w:val="center"/>
                            </w:pPr>
                            <w:r w:rsidRPr="00A27309">
                              <w:rPr>
                                <w:rFonts w:ascii="DM Sans 14pt Light" w:hAnsi="DM Sans 14pt Light" w:cs="Arial"/>
                                <w:sz w:val="18"/>
                                <w:szCs w:val="18"/>
                              </w:rPr>
                              <w:t>ultimate parent entity; structured to support ownership, financing, and long-term governance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0FA0B" id="_x0000_s1028" style="position:absolute;left:0;text-align:left;margin-left:.6pt;margin-top:12.85pt;width:141.7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" fillcolor="#0f4c3a" stroked="f" strokeweight="1.5pt">
                <v:textbox>
                  <w:txbxContent>
                    <w:p w14:paraId="2370D918" w14:textId="77777777" w:rsidR="00F92FEE" w:rsidRPr="00E51429" w:rsidRDefault="00F92FEE" w:rsidP="00F92FEE">
                      <w:pPr>
                        <w:spacing w:after="0" w:line="240" w:lineRule="atLeast"/>
                        <w:jc w:val="center"/>
                        <w:rPr>
                          <w:rFonts w:ascii="DM Sans 14pt SemiBold" w:hAnsi="DM Sans 14pt SemiBold" w:cs="Arial"/>
                          <w:sz w:val="18"/>
                          <w:szCs w:val="18"/>
                        </w:rPr>
                      </w:pPr>
                      <w:r w:rsidRPr="00E51429">
                        <w:rPr>
                          <w:rFonts w:ascii="DM Sans 14pt SemiBold" w:hAnsi="DM Sans 14pt SemiBold" w:cs="Arial"/>
                          <w:sz w:val="18"/>
                          <w:szCs w:val="18"/>
                        </w:rPr>
                        <w:t>HoldCo</w:t>
                      </w:r>
                    </w:p>
                    <w:p w14:paraId="40B92B5E" w14:textId="28E63AF7" w:rsidR="00F92FEE" w:rsidRDefault="00F92FEE" w:rsidP="00F92FEE">
                      <w:pPr>
                        <w:spacing w:after="0" w:line="240" w:lineRule="atLeast"/>
                        <w:jc w:val="center"/>
                      </w:pPr>
                      <w:r w:rsidRPr="00A27309">
                        <w:rPr>
                          <w:rFonts w:ascii="DM Sans 14pt Light" w:hAnsi="DM Sans 14pt Light" w:cs="Arial"/>
                          <w:sz w:val="18"/>
                          <w:szCs w:val="18"/>
                        </w:rPr>
                        <w:t>ultimate parent entity; structured to support ownership, financing, and long-term governance</w:t>
                      </w:r>
                    </w:p>
                  </w:txbxContent>
                </v:textbox>
              </v:rect>
            </w:pict>
          </mc:Fallback>
        </mc:AlternateContent>
      </w:r>
    </w:p>
    <w:p w14:paraId="6B30E54D" w14:textId="66384F9E" w:rsidR="00CA7C8F" w:rsidRDefault="00CA7C8F" w:rsidP="00437844">
      <w:pPr>
        <w:pStyle w:val="BodyText3"/>
        <w:ind w:left="0" w:right="119"/>
        <w:rPr>
          <w:rFonts w:ascii="DM Sans 14pt Light" w:hAnsi="DM Sans 14pt Light" w:cs="Arial"/>
          <w:sz w:val="18"/>
          <w:szCs w:val="18"/>
        </w:rPr>
      </w:pPr>
    </w:p>
    <w:p w14:paraId="330E8028" w14:textId="77777777" w:rsidR="00CA7C8F" w:rsidRPr="00A27309" w:rsidRDefault="00CA7C8F" w:rsidP="00437844">
      <w:pPr>
        <w:pStyle w:val="BodyText3"/>
        <w:ind w:left="0" w:right="119"/>
        <w:rPr>
          <w:rFonts w:ascii="DM Sans 14pt Light" w:hAnsi="DM Sans 14pt Light" w:cs="Arial"/>
          <w:sz w:val="18"/>
          <w:szCs w:val="18"/>
        </w:rPr>
      </w:pPr>
    </w:p>
    <w:p w14:paraId="3073002E" w14:textId="77777777" w:rsidR="00F92FEE" w:rsidRDefault="00F92FEE" w:rsidP="00437844">
      <w:pPr>
        <w:pStyle w:val="BodyText3"/>
        <w:ind w:left="0" w:right="119"/>
        <w:rPr>
          <w:rFonts w:ascii="DM Sans 14pt Light" w:hAnsi="DM Sans 14pt Light" w:cs="Arial"/>
          <w:sz w:val="18"/>
          <w:szCs w:val="18"/>
        </w:rPr>
      </w:pPr>
    </w:p>
    <w:p w14:paraId="502C0023" w14:textId="77777777" w:rsidR="00F92FEE" w:rsidRDefault="00F92FEE" w:rsidP="00437844">
      <w:pPr>
        <w:pStyle w:val="BodyText3"/>
        <w:ind w:left="0" w:right="119"/>
        <w:rPr>
          <w:rFonts w:ascii="DM Sans 14pt Light" w:hAnsi="DM Sans 14pt Light" w:cs="Arial"/>
          <w:sz w:val="18"/>
          <w:szCs w:val="18"/>
        </w:rPr>
      </w:pPr>
    </w:p>
    <w:p w14:paraId="12656F74" w14:textId="03431332" w:rsidR="00A27309" w:rsidRPr="00A27309" w:rsidRDefault="00A27309" w:rsidP="00AC0D90">
      <w:pPr>
        <w:pStyle w:val="AxsumaSubHeader1"/>
        <w:tabs>
          <w:tab w:val="clear" w:pos="8222"/>
        </w:tabs>
        <w:rPr>
          <w:rFonts w:ascii="DM Sans 14pt Light" w:hAnsi="DM Sans 14pt Light"/>
          <w:sz w:val="18"/>
          <w:szCs w:val="18"/>
        </w:rPr>
      </w:pPr>
      <w:r w:rsidRPr="00A27309">
        <w:t xml:space="preserve">How It Works: Reservation &amp; Hold-to-Order </w:t>
      </w:r>
    </w:p>
    <w:p w14:paraId="58C60FAF" w14:textId="77777777" w:rsidR="00E72438" w:rsidRPr="002D5E73" w:rsidRDefault="000561DC" w:rsidP="00AC0D90">
      <w:pPr>
        <w:pStyle w:val="ListParagraph"/>
        <w:numPr>
          <w:ilvl w:val="0"/>
          <w:numId w:val="2"/>
        </w:numPr>
        <w:spacing w:line="259" w:lineRule="auto"/>
        <w:rPr>
          <w:rFonts w:ascii="DM Sans 14pt Light" w:hAnsi="DM Sans 14pt Light" w:cs="Arial"/>
          <w:sz w:val="18"/>
          <w:szCs w:val="18"/>
        </w:rPr>
      </w:pPr>
      <w:r w:rsidRPr="002D5E73">
        <w:rPr>
          <w:rFonts w:ascii="DM Sans 14pt Light" w:hAnsi="DM Sans 14pt Light" w:cs="Arial"/>
          <w:sz w:val="18"/>
          <w:szCs w:val="18"/>
        </w:rPr>
        <w:t>Immediate Reservation - Entities can be reserved instantly upon instruction, securing exclusivity for your transaction.</w:t>
      </w:r>
    </w:p>
    <w:p w14:paraId="58717A00" w14:textId="2A27ED44" w:rsidR="00A27309" w:rsidRPr="002D5E73" w:rsidRDefault="00A27309" w:rsidP="00AC0D90">
      <w:pPr>
        <w:pStyle w:val="ListParagraph"/>
        <w:numPr>
          <w:ilvl w:val="0"/>
          <w:numId w:val="2"/>
        </w:numPr>
        <w:spacing w:line="259" w:lineRule="auto"/>
        <w:rPr>
          <w:rFonts w:ascii="DM Sans 14pt Light" w:hAnsi="DM Sans 14pt Light" w:cs="Arial"/>
          <w:sz w:val="18"/>
          <w:szCs w:val="18"/>
        </w:rPr>
      </w:pPr>
      <w:r w:rsidRPr="002D5E73">
        <w:rPr>
          <w:rFonts w:ascii="DM Sans 14pt Light" w:hAnsi="DM Sans 14pt Light" w:cs="Arial"/>
          <w:sz w:val="18"/>
          <w:szCs w:val="18"/>
        </w:rPr>
        <w:t>Held to Order for Up to 6 Months (extendable by agreement) - We maintain the corporate stack on your behalf - dormant, compliant, and ready - while deal negotiations progress.</w:t>
      </w:r>
    </w:p>
    <w:p w14:paraId="14CE4D91" w14:textId="3111FBB1" w:rsidR="00A27309" w:rsidRPr="002D5E73" w:rsidRDefault="00A27309" w:rsidP="00AC0D90">
      <w:pPr>
        <w:pStyle w:val="ListParagraph"/>
        <w:numPr>
          <w:ilvl w:val="0"/>
          <w:numId w:val="2"/>
        </w:numPr>
        <w:spacing w:line="259" w:lineRule="auto"/>
        <w:rPr>
          <w:rFonts w:ascii="DM Sans 14pt Light" w:hAnsi="DM Sans 14pt Light" w:cs="Arial"/>
          <w:sz w:val="18"/>
          <w:szCs w:val="18"/>
        </w:rPr>
      </w:pPr>
      <w:r w:rsidRPr="002D5E73">
        <w:rPr>
          <w:rFonts w:ascii="DM Sans 14pt Light" w:hAnsi="DM Sans 14pt Light" w:cs="Arial"/>
          <w:sz w:val="18"/>
          <w:szCs w:val="18"/>
        </w:rPr>
        <w:t>Activation on Demand - Upon confirmation, entities are fully activated and transferred in accordance with your instructions and transaction timeline.</w:t>
      </w:r>
    </w:p>
    <w:p w14:paraId="5D3E7992" w14:textId="77777777" w:rsidR="00A27309" w:rsidRPr="00A27309" w:rsidRDefault="00A27309" w:rsidP="00F62F36">
      <w:pPr>
        <w:pStyle w:val="AxsumaSubHeader1"/>
      </w:pPr>
      <w:r w:rsidRPr="00A27309">
        <w:t>Designed for Lawyers &amp; Transaction Advisors</w:t>
      </w:r>
    </w:p>
    <w:p w14:paraId="52C120E3" w14:textId="7E584938" w:rsidR="00A27309" w:rsidRP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We operate as an infrastructure partner, not a legal decision-maker – supporting your work with speed and precision. Our offering is purpose-built for:</w:t>
      </w:r>
    </w:p>
    <w:p w14:paraId="5617881E" w14:textId="74E1A99A"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Lawyers managing complex and time-sensitive M&amp;A transactions</w:t>
      </w:r>
    </w:p>
    <w:p w14:paraId="5FCDD711" w14:textId="496309C1"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Private equity and investment advisors</w:t>
      </w:r>
    </w:p>
    <w:p w14:paraId="76C07DCA" w14:textId="20002472"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Corporate development and in-house legal teams</w:t>
      </w:r>
    </w:p>
    <w:p w14:paraId="51A6ADAF" w14:textId="77F0A208"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Cross-border and multi-jurisdictional deal structures</w:t>
      </w:r>
    </w:p>
    <w:p w14:paraId="5B287BFD" w14:textId="77777777" w:rsidR="00A27309" w:rsidRPr="00A27309" w:rsidRDefault="00A27309" w:rsidP="00F62F36">
      <w:pPr>
        <w:pStyle w:val="AxsumaSubHeader1"/>
      </w:pPr>
      <w:r w:rsidRPr="00A27309">
        <w:t>Key Benefits</w:t>
      </w:r>
    </w:p>
    <w:p w14:paraId="421D8EA6" w14:textId="0C5ABBBA"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Reduced time to signing and closing</w:t>
      </w:r>
    </w:p>
    <w:p w14:paraId="02F65132" w14:textId="31D30494"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Predictable transaction readiness</w:t>
      </w:r>
    </w:p>
    <w:p w14:paraId="3E95AB4E" w14:textId="0B22C22B"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Clean, pre-established corporate records</w:t>
      </w:r>
    </w:p>
    <w:p w14:paraId="0ED99566" w14:textId="711DD030" w:rsidR="00A27309" w:rsidRP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Flexible holding period aligned with deal timelines</w:t>
      </w:r>
    </w:p>
    <w:p w14:paraId="4C452E2A" w14:textId="708C06D9" w:rsidR="00A27309" w:rsidRDefault="00A27309" w:rsidP="00F62F36">
      <w:pPr>
        <w:pStyle w:val="ListParagraph"/>
        <w:numPr>
          <w:ilvl w:val="0"/>
          <w:numId w:val="2"/>
        </w:numPr>
        <w:spacing w:line="259" w:lineRule="auto"/>
        <w:rPr>
          <w:rFonts w:ascii="DM Sans 14pt Light" w:hAnsi="DM Sans 14pt Light" w:cs="Arial"/>
          <w:sz w:val="18"/>
          <w:szCs w:val="18"/>
        </w:rPr>
      </w:pPr>
      <w:r w:rsidRPr="00A27309">
        <w:rPr>
          <w:rFonts w:ascii="DM Sans 14pt Light" w:hAnsi="DM Sans 14pt Light" w:cs="Arial"/>
          <w:sz w:val="18"/>
          <w:szCs w:val="18"/>
        </w:rPr>
        <w:t>Confidential and controlled reservation process</w:t>
      </w:r>
    </w:p>
    <w:p w14:paraId="36E9A3A4" w14:textId="77777777" w:rsidR="00E51429" w:rsidRPr="00A27309" w:rsidRDefault="00E51429" w:rsidP="00E51429">
      <w:pPr>
        <w:pStyle w:val="ListParagraph"/>
        <w:spacing w:line="259" w:lineRule="auto"/>
        <w:rPr>
          <w:rFonts w:ascii="DM Sans 14pt Light" w:hAnsi="DM Sans 14pt Light" w:cs="Arial"/>
          <w:sz w:val="18"/>
          <w:szCs w:val="18"/>
        </w:rPr>
      </w:pPr>
    </w:p>
    <w:p w14:paraId="106DF863" w14:textId="77777777" w:rsidR="00A27309" w:rsidRPr="00A27309" w:rsidRDefault="00A27309" w:rsidP="00F62F36">
      <w:pPr>
        <w:pStyle w:val="AxsumaSubHeader1"/>
      </w:pPr>
      <w:r w:rsidRPr="00A27309">
        <w:t>Single SPVs</w:t>
      </w:r>
    </w:p>
    <w:p w14:paraId="281DE6A6" w14:textId="77777777" w:rsid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If you are seeking a sole SPV for an upcoming transaction, we also retain standalone entities for immediate reservation on the same held to order basis.</w:t>
      </w:r>
    </w:p>
    <w:p w14:paraId="6CDCB712" w14:textId="77777777" w:rsidR="00E51429" w:rsidRPr="00A27309" w:rsidRDefault="00E51429" w:rsidP="00437844">
      <w:pPr>
        <w:pStyle w:val="BodyText3"/>
        <w:ind w:left="0" w:right="119"/>
        <w:rPr>
          <w:rFonts w:ascii="DM Sans 14pt Light" w:hAnsi="DM Sans 14pt Light" w:cs="Arial"/>
          <w:sz w:val="18"/>
          <w:szCs w:val="18"/>
        </w:rPr>
      </w:pPr>
    </w:p>
    <w:p w14:paraId="3A380CD1" w14:textId="77777777" w:rsidR="00A27309" w:rsidRPr="00A27309" w:rsidRDefault="00A27309" w:rsidP="00EF7CBE">
      <w:pPr>
        <w:pStyle w:val="AxsumaSubHeader1"/>
      </w:pPr>
      <w:r w:rsidRPr="00A27309">
        <w:t>Transaction-Ready. When You Need It.</w:t>
      </w:r>
    </w:p>
    <w:p w14:paraId="13445E14" w14:textId="77777777" w:rsidR="00A27309" w:rsidRPr="00A27309" w:rsidRDefault="00A27309" w:rsidP="00437844">
      <w:pPr>
        <w:pStyle w:val="BodyText3"/>
        <w:ind w:left="0" w:right="119"/>
        <w:rPr>
          <w:rFonts w:ascii="DM Sans 14pt Light" w:hAnsi="DM Sans 14pt Light" w:cs="Arial"/>
          <w:sz w:val="18"/>
          <w:szCs w:val="18"/>
        </w:rPr>
      </w:pPr>
      <w:r w:rsidRPr="00A27309">
        <w:rPr>
          <w:rFonts w:ascii="DM Sans 14pt Light" w:hAnsi="DM Sans 14pt Light" w:cs="Arial"/>
          <w:sz w:val="18"/>
          <w:szCs w:val="18"/>
        </w:rPr>
        <w:t>Whether preparing for a competitive bid, conditional signing, or regulatory approval phase, our ready-made HoldCo–MidCo–BidCo stacks give you the structural certainty to move decisively.</w:t>
      </w:r>
    </w:p>
    <w:p w14:paraId="01070DC6" w14:textId="7F4BAEFA" w:rsidR="00AB0BB2" w:rsidRDefault="00A27309" w:rsidP="00A27309">
      <w:pPr>
        <w:pStyle w:val="BodyText3"/>
        <w:tabs>
          <w:tab w:val="left" w:pos="8222"/>
        </w:tabs>
        <w:ind w:left="0" w:right="119"/>
        <w:rPr>
          <w:rFonts w:ascii="DM Sans 14pt Light" w:hAnsi="DM Sans 14pt Light" w:cs="Arial"/>
          <w:sz w:val="18"/>
          <w:szCs w:val="18"/>
        </w:rPr>
      </w:pPr>
      <w:r w:rsidRPr="00A27309">
        <w:rPr>
          <w:rFonts w:ascii="DM Sans 14pt Light" w:hAnsi="DM Sans 14pt Light" w:cs="Arial"/>
          <w:sz w:val="18"/>
          <w:szCs w:val="18"/>
        </w:rPr>
        <w:t>It will be necessary to conduct some compliance checks in accordance with the UK Money Laundering Regulations upon transfer of ownership at completion.</w:t>
      </w:r>
    </w:p>
    <w:p w14:paraId="582BE602" w14:textId="77777777" w:rsidR="00A27309" w:rsidRDefault="00A27309" w:rsidP="00A27309">
      <w:pPr>
        <w:pStyle w:val="BodyText3"/>
        <w:tabs>
          <w:tab w:val="left" w:pos="8222"/>
        </w:tabs>
        <w:ind w:left="0" w:right="119"/>
        <w:rPr>
          <w:rFonts w:ascii="DM Sans 14pt Light" w:hAnsi="DM Sans 14pt Light" w:cs="Arial"/>
          <w:sz w:val="18"/>
          <w:szCs w:val="18"/>
        </w:rPr>
      </w:pPr>
    </w:p>
    <w:p w14:paraId="30326122" w14:textId="77777777" w:rsidR="00AB721F" w:rsidRDefault="00AB721F" w:rsidP="00E51429">
      <w:pPr>
        <w:spacing w:after="0" w:line="240" w:lineRule="atLeast"/>
      </w:pPr>
    </w:p>
    <w:p w14:paraId="42628FC4" w14:textId="77777777" w:rsidR="00AB721F" w:rsidRDefault="00AB721F" w:rsidP="00E51429">
      <w:pPr>
        <w:spacing w:after="0" w:line="240" w:lineRule="atLeast"/>
      </w:pPr>
    </w:p>
    <w:p w14:paraId="494A9BDA" w14:textId="77777777" w:rsidR="003006D8" w:rsidRDefault="003006D8" w:rsidP="00E51429">
      <w:pPr>
        <w:spacing w:after="0" w:line="240" w:lineRule="atLeast"/>
        <w:rPr>
          <w:rFonts w:ascii="DM Sans 14pt Light" w:hAnsi="DM Sans 14pt Light"/>
          <w:b/>
          <w:bCs/>
          <w:sz w:val="16"/>
          <w:szCs w:val="16"/>
        </w:rPr>
      </w:pPr>
    </w:p>
    <w:p w14:paraId="7FA62277" w14:textId="77777777" w:rsidR="003006D8" w:rsidRDefault="003006D8" w:rsidP="00E51429">
      <w:pPr>
        <w:spacing w:after="0" w:line="240" w:lineRule="atLeast"/>
        <w:rPr>
          <w:rFonts w:ascii="DM Sans 14pt Light" w:hAnsi="DM Sans 14pt Light"/>
          <w:b/>
          <w:bCs/>
          <w:sz w:val="16"/>
          <w:szCs w:val="16"/>
        </w:rPr>
      </w:pPr>
    </w:p>
    <w:p w14:paraId="33BD8A3C" w14:textId="77777777" w:rsidR="00AB721F" w:rsidRDefault="00AB721F" w:rsidP="00E51429">
      <w:pPr>
        <w:spacing w:after="0" w:line="240" w:lineRule="atLeast"/>
        <w:rPr>
          <w:rFonts w:ascii="DM Sans 14pt Light" w:hAnsi="DM Sans 14pt Light"/>
          <w:b/>
          <w:bCs/>
          <w:sz w:val="16"/>
          <w:szCs w:val="16"/>
        </w:rPr>
      </w:pPr>
    </w:p>
    <w:p w14:paraId="775D05AD" w14:textId="77777777" w:rsidR="009D3913" w:rsidRDefault="009D3913" w:rsidP="00E51429">
      <w:pPr>
        <w:spacing w:after="0" w:line="240" w:lineRule="atLeast"/>
        <w:ind w:left="-284"/>
        <w:rPr>
          <w:rFonts w:ascii="DM Sans 14pt Light" w:hAnsi="DM Sans 14pt Light"/>
          <w:b/>
          <w:bCs/>
          <w:sz w:val="16"/>
          <w:szCs w:val="16"/>
        </w:rPr>
      </w:pPr>
    </w:p>
    <w:p w14:paraId="49CDB76D" w14:textId="77777777" w:rsidR="00E51429" w:rsidRDefault="00E51429" w:rsidP="009D3913">
      <w:pPr>
        <w:spacing w:line="240" w:lineRule="atLeast"/>
        <w:ind w:left="-284"/>
        <w:rPr>
          <w:rFonts w:ascii="DM Sans 14pt SemiBold" w:hAnsi="DM Sans 14pt SemiBold"/>
          <w:sz w:val="16"/>
          <w:szCs w:val="16"/>
        </w:rPr>
      </w:pPr>
    </w:p>
    <w:p w14:paraId="7B5D1A49" w14:textId="77777777" w:rsidR="00E51429" w:rsidRDefault="00E51429" w:rsidP="009D3913">
      <w:pPr>
        <w:spacing w:line="240" w:lineRule="atLeast"/>
        <w:ind w:left="-284"/>
        <w:rPr>
          <w:rFonts w:ascii="DM Sans 14pt SemiBold" w:hAnsi="DM Sans 14pt SemiBold"/>
          <w:sz w:val="16"/>
          <w:szCs w:val="16"/>
        </w:rPr>
      </w:pPr>
    </w:p>
    <w:p w14:paraId="7EB205C8" w14:textId="77777777" w:rsidR="00E51429" w:rsidRDefault="00E51429" w:rsidP="009D3913">
      <w:pPr>
        <w:spacing w:line="240" w:lineRule="atLeast"/>
        <w:ind w:left="-284"/>
        <w:rPr>
          <w:rFonts w:ascii="DM Sans 14pt SemiBold" w:hAnsi="DM Sans 14pt SemiBold"/>
          <w:sz w:val="16"/>
          <w:szCs w:val="16"/>
        </w:rPr>
      </w:pPr>
    </w:p>
    <w:p w14:paraId="330435DD" w14:textId="77777777" w:rsidR="00E51429" w:rsidRDefault="00E51429" w:rsidP="009D3913">
      <w:pPr>
        <w:spacing w:line="240" w:lineRule="atLeast"/>
        <w:ind w:left="-284"/>
        <w:rPr>
          <w:rFonts w:ascii="DM Sans 14pt SemiBold" w:hAnsi="DM Sans 14pt SemiBold"/>
          <w:sz w:val="16"/>
          <w:szCs w:val="16"/>
        </w:rPr>
      </w:pPr>
    </w:p>
    <w:p w14:paraId="38DD97F2" w14:textId="13AF5E9F" w:rsidR="00AB721F" w:rsidRPr="009D3913" w:rsidRDefault="00AB721F" w:rsidP="009D3913">
      <w:pPr>
        <w:spacing w:line="240" w:lineRule="atLeast"/>
        <w:ind w:left="-284"/>
        <w:rPr>
          <w:rFonts w:ascii="DM Sans 14pt SemiBold" w:hAnsi="DM Sans 14pt SemiBold"/>
          <w:sz w:val="16"/>
          <w:szCs w:val="16"/>
        </w:rPr>
      </w:pPr>
      <w:r w:rsidRPr="009D3913">
        <w:rPr>
          <w:rFonts w:ascii="DM Sans 14pt SemiBold" w:hAnsi="DM Sans 14pt SemiBold"/>
          <w:sz w:val="16"/>
          <w:szCs w:val="16"/>
        </w:rPr>
        <w:t xml:space="preserve">Disclaimer </w:t>
      </w:r>
    </w:p>
    <w:p w14:paraId="3EB5F531" w14:textId="6DD5A9BD" w:rsidR="00AB721F" w:rsidRPr="00AB721F" w:rsidRDefault="00AB721F" w:rsidP="009D3913">
      <w:pPr>
        <w:spacing w:line="240" w:lineRule="atLeast"/>
        <w:ind w:left="-284"/>
        <w:rPr>
          <w:rFonts w:ascii="DM Sans 14pt Light" w:hAnsi="DM Sans 14pt Light"/>
          <w:sz w:val="16"/>
          <w:szCs w:val="16"/>
        </w:rPr>
      </w:pPr>
      <w:r w:rsidRPr="00AB721F">
        <w:rPr>
          <w:rFonts w:ascii="DM Sans 14pt Light" w:hAnsi="DM Sans 14pt Light"/>
          <w:sz w:val="16"/>
          <w:szCs w:val="16"/>
        </w:rPr>
        <w:t>The contents of this document are for general guidance only and do not constitute definitive advice. The information provided is intended to offer a broad overview of the subject matter and should not be relied upon as a substitute for specialist advice tailored to your specific circumstances.</w:t>
      </w:r>
    </w:p>
    <w:p w14:paraId="49135AE0" w14:textId="02BDE3B0" w:rsidR="00AB721F" w:rsidRPr="001B7979" w:rsidRDefault="00AB721F" w:rsidP="009D3913">
      <w:pPr>
        <w:spacing w:line="240" w:lineRule="atLeast"/>
        <w:ind w:left="-284"/>
      </w:pPr>
      <w:r w:rsidRPr="00AB721F">
        <w:rPr>
          <w:rFonts w:ascii="DM Sans 14pt Light" w:hAnsi="DM Sans 14pt Light"/>
          <w:sz w:val="16"/>
          <w:szCs w:val="16"/>
        </w:rPr>
        <w:t>This document must be read in conjunction with our Legal and Regulatory Notice available at www.axsuma.co.uk.</w:t>
      </w:r>
    </w:p>
    <w:sectPr w:rsidR="00AB721F" w:rsidRPr="001B7979" w:rsidSect="00FA0CB7">
      <w:headerReference w:type="default" r:id="rId10"/>
      <w:footerReference w:type="default" r:id="rId11"/>
      <w:pgSz w:w="11906" w:h="16838"/>
      <w:pgMar w:top="1985" w:right="113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5020" w14:textId="77777777" w:rsidR="005614C7" w:rsidRDefault="005614C7" w:rsidP="00B00092">
      <w:pPr>
        <w:spacing w:after="0" w:line="240" w:lineRule="auto"/>
      </w:pPr>
      <w:r>
        <w:separator/>
      </w:r>
    </w:p>
  </w:endnote>
  <w:endnote w:type="continuationSeparator" w:id="0">
    <w:p w14:paraId="6CBD1505" w14:textId="77777777" w:rsidR="005614C7" w:rsidRDefault="005614C7" w:rsidP="00B00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14pt Light">
    <w:altName w:val="Calibri"/>
    <w:charset w:val="00"/>
    <w:family w:val="auto"/>
    <w:pitch w:val="variable"/>
    <w:sig w:usb0="8000002F" w:usb1="4000204B" w:usb2="00000000" w:usb3="00000000" w:csb0="00000093"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Inter SemiBold">
    <w:altName w:val="Calibri"/>
    <w:charset w:val="00"/>
    <w:family w:val="auto"/>
    <w:pitch w:val="variable"/>
    <w:sig w:usb0="E00002FF" w:usb1="1200A1FF" w:usb2="00000000" w:usb3="00000000" w:csb0="0000019F" w:csb1="00000000"/>
  </w:font>
  <w:font w:name="DM Sans 14pt Medium">
    <w:altName w:val="Calibri"/>
    <w:charset w:val="00"/>
    <w:family w:val="auto"/>
    <w:pitch w:val="variable"/>
    <w:sig w:usb0="8000002F" w:usb1="4000204B" w:usb2="00000000" w:usb3="00000000" w:csb0="00000093" w:csb1="00000000"/>
  </w:font>
  <w:font w:name="DM Sans 14pt SemiBold">
    <w:altName w:val="Calibri"/>
    <w:charset w:val="00"/>
    <w:family w:val="auto"/>
    <w:pitch w:val="variable"/>
    <w:sig w:usb0="8000002F" w:usb1="4000204B" w:usb2="00000000" w:usb3="00000000" w:csb0="00000093" w:csb1="00000000"/>
  </w:font>
  <w:font w:name="DM Sans 14pt Thin">
    <w:altName w:val="Calibri"/>
    <w:charset w:val="00"/>
    <w:family w:val="auto"/>
    <w:pitch w:val="variable"/>
    <w:sig w:usb0="8000002F" w:usb1="4000204B" w:usb2="00000000" w:usb3="00000000" w:csb0="00000093"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7D7B" w14:textId="3B944350" w:rsidR="00B00092" w:rsidRPr="00B00092" w:rsidRDefault="00B00092" w:rsidP="00DF30CD">
    <w:pPr>
      <w:pStyle w:val="Footer"/>
      <w:ind w:left="-426"/>
      <w:rPr>
        <w:rFonts w:ascii="DM Sans 14pt Thin" w:hAnsi="DM Sans 14pt Thin"/>
        <w:sz w:val="16"/>
        <w:szCs w:val="16"/>
      </w:rPr>
    </w:pPr>
    <w:r>
      <w:rPr>
        <w:noProof/>
      </w:rPr>
      <mc:AlternateContent>
        <mc:Choice Requires="wps">
          <w:drawing>
            <wp:anchor distT="0" distB="0" distL="114300" distR="114300" simplePos="0" relativeHeight="251658240" behindDoc="0" locked="0" layoutInCell="1" allowOverlap="1" wp14:anchorId="0A4B1F57" wp14:editId="6A87B376">
              <wp:simplePos x="0" y="0"/>
              <wp:positionH relativeFrom="margin">
                <wp:posOffset>-194310</wp:posOffset>
              </wp:positionH>
              <wp:positionV relativeFrom="paragraph">
                <wp:posOffset>-61183</wp:posOffset>
              </wp:positionV>
              <wp:extent cx="6120000" cy="0"/>
              <wp:effectExtent l="0" t="0" r="0" b="0"/>
              <wp:wrapNone/>
              <wp:docPr id="239814112" name="Straight Connector 3">
                <a:extLst xmlns:a="http://schemas.openxmlformats.org/drawingml/2006/main">
                  <a:ext uri="{FF2B5EF4-FFF2-40B4-BE49-F238E27FC236}">
                    <a16:creationId xmlns:a16="http://schemas.microsoft.com/office/drawing/2014/main" id="{F26FF459-9A26-472A-A272-46FCE2A1B620}"/>
                  </a:ext>
                </a:extLst>
              </wp:docPr>
              <wp:cNvGraphicFramePr/>
              <a:graphic xmlns:a="http://schemas.openxmlformats.org/drawingml/2006/main">
                <a:graphicData uri="http://schemas.microsoft.com/office/word/2010/wordprocessingShape">
                  <wps:wsp>
                    <wps:cNvCnPr/>
                    <wps:spPr>
                      <a:xfrm flipV="1">
                        <a:off x="0" y="0"/>
                        <a:ext cx="6120000" cy="0"/>
                      </a:xfrm>
                      <a:prstGeom prst="line">
                        <a:avLst/>
                      </a:prstGeom>
                      <a:ln w="6350">
                        <a:solidFill>
                          <a:srgbClr val="00594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A1D09"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3pt,-4.8pt" to="466.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" strokecolor="#00594a" strokeweight=".5pt">
              <v:stroke joinstyle="miter"/>
              <w10:wrap anchorx="margin"/>
            </v:line>
          </w:pict>
        </mc:Fallback>
      </mc:AlternateContent>
    </w:r>
    <w:r w:rsidRPr="00B00092">
      <w:rPr>
        <w:rFonts w:ascii="Arial" w:hAnsi="Arial" w:cs="Arial"/>
        <w:color w:val="1F1F1F"/>
        <w:sz w:val="48"/>
        <w:szCs w:val="48"/>
        <w:shd w:val="clear" w:color="auto" w:fill="FFFFFF"/>
      </w:rPr>
      <w:t xml:space="preserve"> </w:t>
    </w:r>
    <w:r w:rsidRPr="00B00092">
      <w:rPr>
        <w:rFonts w:ascii="DM Sans 14pt Thin" w:hAnsi="DM Sans 14pt Thin"/>
        <w:sz w:val="16"/>
        <w:szCs w:val="16"/>
      </w:rPr>
      <w:t>© Axsuma 2026</w:t>
    </w:r>
    <w:r w:rsidR="00DF30CD">
      <w:rPr>
        <w:rFonts w:ascii="DM Sans 14pt Thin" w:hAnsi="DM Sans 14pt Thin"/>
        <w:sz w:val="16"/>
        <w:szCs w:val="16"/>
      </w:rPr>
      <w:tab/>
      <w:t xml:space="preserve">                                                                                                                                                                                                                   axsuma.co.uk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AE631" w14:textId="77777777" w:rsidR="005614C7" w:rsidRDefault="005614C7" w:rsidP="00B00092">
      <w:pPr>
        <w:spacing w:after="0" w:line="240" w:lineRule="auto"/>
      </w:pPr>
      <w:r>
        <w:separator/>
      </w:r>
    </w:p>
  </w:footnote>
  <w:footnote w:type="continuationSeparator" w:id="0">
    <w:p w14:paraId="5A8D0FCE" w14:textId="77777777" w:rsidR="005614C7" w:rsidRDefault="005614C7" w:rsidP="00B00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64F4" w14:textId="3FC4723C" w:rsidR="008453BC" w:rsidRDefault="00865DFA" w:rsidP="00865DFA">
    <w:pPr>
      <w:pStyle w:val="Header"/>
      <w:jc w:val="right"/>
    </w:pPr>
    <w:r>
      <w:rPr>
        <w:noProof/>
      </w:rPr>
      <w:drawing>
        <wp:inline distT="0" distB="0" distL="0" distR="0" wp14:anchorId="6E5F307A" wp14:editId="54D39980">
          <wp:extent cx="1800000" cy="482806"/>
          <wp:effectExtent l="0" t="0" r="0" b="0"/>
          <wp:docPr id="1971022568" name="Picture 1">
            <a:extLst xmlns:a="http://schemas.openxmlformats.org/drawingml/2006/main">
              <a:ext uri="{FF2B5EF4-FFF2-40B4-BE49-F238E27FC236}">
                <a16:creationId xmlns:a16="http://schemas.microsoft.com/office/drawing/2014/main" id="{8945B621-076E-45FE-9C6D-709BE1652F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7505" name="Picture 173290750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0000" cy="4828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7F6B"/>
    <w:multiLevelType w:val="hybridMultilevel"/>
    <w:tmpl w:val="FBC080F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 w15:restartNumberingAfterBreak="0">
    <w:nsid w:val="18855109"/>
    <w:multiLevelType w:val="hybridMultilevel"/>
    <w:tmpl w:val="14AA24FC"/>
    <w:lvl w:ilvl="0" w:tplc="66483838">
      <w:numFmt w:val="bullet"/>
      <w:lvlText w:val="•"/>
      <w:lvlJc w:val="left"/>
      <w:pPr>
        <w:ind w:left="8940" w:hanging="8220"/>
      </w:pPr>
      <w:rPr>
        <w:rFonts w:ascii="DM Sans 14pt Light" w:eastAsiaTheme="minorHAnsi" w:hAnsi="DM Sans 14pt Light"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0E70843"/>
    <w:multiLevelType w:val="hybridMultilevel"/>
    <w:tmpl w:val="B478D598"/>
    <w:lvl w:ilvl="0" w:tplc="CC3EDC44">
      <w:numFmt w:val="bullet"/>
      <w:lvlText w:val="•"/>
      <w:lvlJc w:val="left"/>
      <w:pPr>
        <w:ind w:left="720" w:hanging="360"/>
      </w:pPr>
      <w:rPr>
        <w:rFonts w:ascii="DM Sans 14pt Light" w:eastAsiaTheme="minorHAnsi" w:hAnsi="DM Sans 14pt Light"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C761A"/>
    <w:multiLevelType w:val="hybridMultilevel"/>
    <w:tmpl w:val="BEAC547E"/>
    <w:lvl w:ilvl="0" w:tplc="DDF815D4">
      <w:start w:val="1"/>
      <w:numFmt w:val="decimal"/>
      <w:pStyle w:val="AxsumabulletHead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27E3B9A"/>
    <w:multiLevelType w:val="multilevel"/>
    <w:tmpl w:val="403A703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440" w:firstLine="0"/>
      </w:p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02066F"/>
    <w:multiLevelType w:val="hybridMultilevel"/>
    <w:tmpl w:val="F1F87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D9163F"/>
    <w:multiLevelType w:val="hybridMultilevel"/>
    <w:tmpl w:val="58EA8C6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7" w15:restartNumberingAfterBreak="0">
    <w:nsid w:val="49A87D83"/>
    <w:multiLevelType w:val="hybridMultilevel"/>
    <w:tmpl w:val="C0C837FE"/>
    <w:lvl w:ilvl="0" w:tplc="66483838">
      <w:numFmt w:val="bullet"/>
      <w:lvlText w:val="•"/>
      <w:lvlJc w:val="left"/>
      <w:pPr>
        <w:ind w:left="8940" w:hanging="8220"/>
      </w:pPr>
      <w:rPr>
        <w:rFonts w:ascii="DM Sans 14pt Light" w:eastAsiaTheme="minorHAnsi" w:hAnsi="DM Sans 14pt Light"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4237F2A"/>
    <w:multiLevelType w:val="hybridMultilevel"/>
    <w:tmpl w:val="0A90A5E8"/>
    <w:lvl w:ilvl="0" w:tplc="66483838">
      <w:numFmt w:val="bullet"/>
      <w:lvlText w:val="•"/>
      <w:lvlJc w:val="left"/>
      <w:pPr>
        <w:ind w:left="8580" w:hanging="8220"/>
      </w:pPr>
      <w:rPr>
        <w:rFonts w:ascii="DM Sans 14pt Light" w:eastAsiaTheme="minorHAnsi" w:hAnsi="DM Sans 14pt Light"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8477BE"/>
    <w:multiLevelType w:val="hybridMultilevel"/>
    <w:tmpl w:val="0FCC642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0" w15:restartNumberingAfterBreak="0">
    <w:nsid w:val="7F0D7A83"/>
    <w:multiLevelType w:val="hybridMultilevel"/>
    <w:tmpl w:val="B510CD6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4449289">
    <w:abstractNumId w:val="3"/>
  </w:num>
  <w:num w:numId="2" w16cid:durableId="1414470589">
    <w:abstractNumId w:val="10"/>
  </w:num>
  <w:num w:numId="3" w16cid:durableId="1444113273">
    <w:abstractNumId w:val="0"/>
  </w:num>
  <w:num w:numId="4" w16cid:durableId="1555123496">
    <w:abstractNumId w:val="4"/>
    <w:lvlOverride w:ilvl="0"/>
    <w:lvlOverride w:ilvl="1">
      <w:startOverride w:val="1"/>
    </w:lvlOverride>
    <w:lvlOverride w:ilvl="2"/>
    <w:lvlOverride w:ilvl="3"/>
    <w:lvlOverride w:ilvl="4"/>
    <w:lvlOverride w:ilvl="5"/>
    <w:lvlOverride w:ilvl="6"/>
    <w:lvlOverride w:ilvl="7"/>
    <w:lvlOverride w:ilvl="8"/>
  </w:num>
  <w:num w:numId="5" w16cid:durableId="1556816666">
    <w:abstractNumId w:val="7"/>
  </w:num>
  <w:num w:numId="6" w16cid:durableId="1627080678">
    <w:abstractNumId w:val="6"/>
  </w:num>
  <w:num w:numId="7" w16cid:durableId="170680197">
    <w:abstractNumId w:val="8"/>
  </w:num>
  <w:num w:numId="8" w16cid:durableId="397214226">
    <w:abstractNumId w:val="1"/>
  </w:num>
  <w:num w:numId="9" w16cid:durableId="778329378">
    <w:abstractNumId w:val="9"/>
  </w:num>
  <w:num w:numId="10" w16cid:durableId="865750019">
    <w:abstractNumId w:val="2"/>
  </w:num>
  <w:num w:numId="11" w16cid:durableId="972246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92"/>
    <w:rsid w:val="00016BFB"/>
    <w:rsid w:val="00035C5E"/>
    <w:rsid w:val="000561DC"/>
    <w:rsid w:val="000C103B"/>
    <w:rsid w:val="000C17BE"/>
    <w:rsid w:val="000C358D"/>
    <w:rsid w:val="00107FBE"/>
    <w:rsid w:val="00120B86"/>
    <w:rsid w:val="00125621"/>
    <w:rsid w:val="00160D7B"/>
    <w:rsid w:val="001821F7"/>
    <w:rsid w:val="001B403B"/>
    <w:rsid w:val="001B7979"/>
    <w:rsid w:val="001D3096"/>
    <w:rsid w:val="0022543F"/>
    <w:rsid w:val="00292295"/>
    <w:rsid w:val="00295E22"/>
    <w:rsid w:val="002B17A7"/>
    <w:rsid w:val="002D505C"/>
    <w:rsid w:val="002D5E73"/>
    <w:rsid w:val="003006D8"/>
    <w:rsid w:val="00362B9E"/>
    <w:rsid w:val="003909BF"/>
    <w:rsid w:val="003D41F7"/>
    <w:rsid w:val="00437844"/>
    <w:rsid w:val="00464FDE"/>
    <w:rsid w:val="00471FE9"/>
    <w:rsid w:val="00483BE4"/>
    <w:rsid w:val="00492BF4"/>
    <w:rsid w:val="004B362D"/>
    <w:rsid w:val="004B7F1C"/>
    <w:rsid w:val="0050091D"/>
    <w:rsid w:val="00533696"/>
    <w:rsid w:val="005614C7"/>
    <w:rsid w:val="00566B92"/>
    <w:rsid w:val="00566CE3"/>
    <w:rsid w:val="005C3E48"/>
    <w:rsid w:val="005F32BB"/>
    <w:rsid w:val="00601D1D"/>
    <w:rsid w:val="0061650E"/>
    <w:rsid w:val="0063425E"/>
    <w:rsid w:val="00690791"/>
    <w:rsid w:val="00696CAD"/>
    <w:rsid w:val="006B1108"/>
    <w:rsid w:val="00746D91"/>
    <w:rsid w:val="0077499F"/>
    <w:rsid w:val="00776361"/>
    <w:rsid w:val="007F01BE"/>
    <w:rsid w:val="007F561F"/>
    <w:rsid w:val="00827A07"/>
    <w:rsid w:val="0084456D"/>
    <w:rsid w:val="008453BC"/>
    <w:rsid w:val="00865DFA"/>
    <w:rsid w:val="00890518"/>
    <w:rsid w:val="008B4FB4"/>
    <w:rsid w:val="008D1CBF"/>
    <w:rsid w:val="008D5F23"/>
    <w:rsid w:val="008D663A"/>
    <w:rsid w:val="00904174"/>
    <w:rsid w:val="00910015"/>
    <w:rsid w:val="00915EEF"/>
    <w:rsid w:val="00933A84"/>
    <w:rsid w:val="009A38AB"/>
    <w:rsid w:val="009A782E"/>
    <w:rsid w:val="009D3913"/>
    <w:rsid w:val="009F1498"/>
    <w:rsid w:val="00A27309"/>
    <w:rsid w:val="00A30323"/>
    <w:rsid w:val="00A47B85"/>
    <w:rsid w:val="00A56CA2"/>
    <w:rsid w:val="00AB0BB2"/>
    <w:rsid w:val="00AB721F"/>
    <w:rsid w:val="00AC0D90"/>
    <w:rsid w:val="00AF364B"/>
    <w:rsid w:val="00B00092"/>
    <w:rsid w:val="00B14440"/>
    <w:rsid w:val="00B337F3"/>
    <w:rsid w:val="00BA4ECC"/>
    <w:rsid w:val="00C04EB1"/>
    <w:rsid w:val="00C272FC"/>
    <w:rsid w:val="00C862A3"/>
    <w:rsid w:val="00CA7C8F"/>
    <w:rsid w:val="00CF353F"/>
    <w:rsid w:val="00D10D84"/>
    <w:rsid w:val="00D33CB7"/>
    <w:rsid w:val="00D729E0"/>
    <w:rsid w:val="00D816F2"/>
    <w:rsid w:val="00DF125F"/>
    <w:rsid w:val="00DF30CD"/>
    <w:rsid w:val="00E26AF0"/>
    <w:rsid w:val="00E51429"/>
    <w:rsid w:val="00E53018"/>
    <w:rsid w:val="00E72438"/>
    <w:rsid w:val="00E91116"/>
    <w:rsid w:val="00EB6A49"/>
    <w:rsid w:val="00EF7CBE"/>
    <w:rsid w:val="00F62F36"/>
    <w:rsid w:val="00F66167"/>
    <w:rsid w:val="00F82CED"/>
    <w:rsid w:val="00F92FEE"/>
    <w:rsid w:val="00FA0CB7"/>
    <w:rsid w:val="00FD37DC"/>
    <w:rsid w:val="00FD5440"/>
    <w:rsid w:val="00FE3FA7"/>
    <w:rsid w:val="00FF5B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21372F"/>
  <w15:chartTrackingRefBased/>
  <w15:docId w15:val="{CD637185-75A8-4F53-987A-B2E6EE14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979"/>
  </w:style>
  <w:style w:type="paragraph" w:styleId="Heading1">
    <w:name w:val="heading 1"/>
    <w:basedOn w:val="Normal"/>
    <w:next w:val="Normal"/>
    <w:link w:val="Heading1Char"/>
    <w:uiPriority w:val="9"/>
    <w:qFormat/>
    <w:rsid w:val="00B0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92"/>
    <w:rPr>
      <w:rFonts w:eastAsiaTheme="majorEastAsia" w:cstheme="majorBidi"/>
      <w:color w:val="272727" w:themeColor="text1" w:themeTint="D8"/>
    </w:rPr>
  </w:style>
  <w:style w:type="paragraph" w:styleId="Title">
    <w:name w:val="Title"/>
    <w:basedOn w:val="Normal"/>
    <w:next w:val="Normal"/>
    <w:link w:val="TitleChar"/>
    <w:uiPriority w:val="10"/>
    <w:qFormat/>
    <w:rsid w:val="00B0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92"/>
    <w:pPr>
      <w:spacing w:before="160"/>
      <w:jc w:val="center"/>
    </w:pPr>
    <w:rPr>
      <w:i/>
      <w:iCs/>
      <w:color w:val="404040" w:themeColor="text1" w:themeTint="BF"/>
    </w:rPr>
  </w:style>
  <w:style w:type="character" w:customStyle="1" w:styleId="QuoteChar">
    <w:name w:val="Quote Char"/>
    <w:basedOn w:val="DefaultParagraphFont"/>
    <w:link w:val="Quote"/>
    <w:uiPriority w:val="29"/>
    <w:rsid w:val="00B00092"/>
    <w:rPr>
      <w:i/>
      <w:iCs/>
      <w:color w:val="404040" w:themeColor="text1" w:themeTint="BF"/>
    </w:rPr>
  </w:style>
  <w:style w:type="paragraph" w:styleId="ListParagraph">
    <w:name w:val="List Paragraph"/>
    <w:basedOn w:val="Normal"/>
    <w:uiPriority w:val="34"/>
    <w:qFormat/>
    <w:rsid w:val="00B00092"/>
    <w:pPr>
      <w:ind w:left="720"/>
      <w:contextualSpacing/>
    </w:pPr>
  </w:style>
  <w:style w:type="character" w:styleId="IntenseEmphasis">
    <w:name w:val="Intense Emphasis"/>
    <w:basedOn w:val="DefaultParagraphFont"/>
    <w:uiPriority w:val="21"/>
    <w:qFormat/>
    <w:rsid w:val="00B00092"/>
    <w:rPr>
      <w:i/>
      <w:iCs/>
      <w:color w:val="0F4761" w:themeColor="accent1" w:themeShade="BF"/>
    </w:rPr>
  </w:style>
  <w:style w:type="paragraph" w:styleId="IntenseQuote">
    <w:name w:val="Intense Quote"/>
    <w:basedOn w:val="Normal"/>
    <w:next w:val="Normal"/>
    <w:link w:val="IntenseQuoteChar"/>
    <w:uiPriority w:val="30"/>
    <w:qFormat/>
    <w:rsid w:val="00B0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092"/>
    <w:rPr>
      <w:i/>
      <w:iCs/>
      <w:color w:val="0F4761" w:themeColor="accent1" w:themeShade="BF"/>
    </w:rPr>
  </w:style>
  <w:style w:type="character" w:styleId="IntenseReference">
    <w:name w:val="Intense Reference"/>
    <w:basedOn w:val="DefaultParagraphFont"/>
    <w:uiPriority w:val="32"/>
    <w:qFormat/>
    <w:rsid w:val="00B00092"/>
    <w:rPr>
      <w:b/>
      <w:bCs/>
      <w:smallCaps/>
      <w:color w:val="0F4761" w:themeColor="accent1" w:themeShade="BF"/>
      <w:spacing w:val="5"/>
    </w:rPr>
  </w:style>
  <w:style w:type="paragraph" w:styleId="Header">
    <w:name w:val="header"/>
    <w:basedOn w:val="Normal"/>
    <w:link w:val="HeaderChar"/>
    <w:uiPriority w:val="99"/>
    <w:unhideWhenUsed/>
    <w:rsid w:val="00B00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092"/>
  </w:style>
  <w:style w:type="paragraph" w:styleId="Footer">
    <w:name w:val="footer"/>
    <w:basedOn w:val="Normal"/>
    <w:link w:val="FooterChar"/>
    <w:uiPriority w:val="99"/>
    <w:unhideWhenUsed/>
    <w:rsid w:val="00B00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092"/>
  </w:style>
  <w:style w:type="paragraph" w:customStyle="1" w:styleId="TableParagraph">
    <w:name w:val="Table Paragraph"/>
    <w:basedOn w:val="Normal"/>
    <w:uiPriority w:val="1"/>
    <w:qFormat/>
    <w:rsid w:val="000C358D"/>
    <w:pPr>
      <w:widowControl w:val="0"/>
      <w:autoSpaceDE w:val="0"/>
      <w:autoSpaceDN w:val="0"/>
      <w:spacing w:before="1" w:after="0" w:line="240" w:lineRule="auto"/>
      <w:ind w:left="107"/>
    </w:pPr>
    <w:rPr>
      <w:rFonts w:ascii="Calibri" w:eastAsia="Calibri" w:hAnsi="Calibri" w:cs="Calibri"/>
      <w:kern w:val="0"/>
      <w:sz w:val="22"/>
      <w:szCs w:val="22"/>
      <w:lang w:val="en-US"/>
      <w14:ligatures w14:val="none"/>
    </w:rPr>
  </w:style>
  <w:style w:type="paragraph" w:styleId="BodyText3">
    <w:name w:val="Body Text 3"/>
    <w:basedOn w:val="Normal"/>
    <w:link w:val="BodyText3Char"/>
    <w:uiPriority w:val="99"/>
    <w:semiHidden/>
    <w:unhideWhenUsed/>
    <w:rsid w:val="001B7979"/>
    <w:pPr>
      <w:spacing w:before="140" w:after="140" w:line="280" w:lineRule="exact"/>
      <w:ind w:left="720"/>
      <w:jc w:val="both"/>
    </w:pPr>
    <w:rPr>
      <w:rFonts w:ascii="Times New Roman" w:hAnsi="Times New Roman" w:cs="Times New Roman"/>
      <w:kern w:val="0"/>
      <w14:ligatures w14:val="none"/>
    </w:rPr>
  </w:style>
  <w:style w:type="character" w:customStyle="1" w:styleId="BodyText3Char">
    <w:name w:val="Body Text 3 Char"/>
    <w:basedOn w:val="DefaultParagraphFont"/>
    <w:link w:val="BodyText3"/>
    <w:uiPriority w:val="99"/>
    <w:semiHidden/>
    <w:rsid w:val="001B7979"/>
    <w:rPr>
      <w:rFonts w:ascii="Times New Roman" w:hAnsi="Times New Roman" w:cs="Times New Roman"/>
      <w:kern w:val="0"/>
      <w14:ligatures w14:val="none"/>
    </w:rPr>
  </w:style>
  <w:style w:type="paragraph" w:customStyle="1" w:styleId="Default">
    <w:name w:val="Default"/>
    <w:basedOn w:val="Normal"/>
    <w:rsid w:val="001B7979"/>
    <w:pPr>
      <w:autoSpaceDE w:val="0"/>
      <w:autoSpaceDN w:val="0"/>
      <w:spacing w:after="0" w:line="240" w:lineRule="auto"/>
    </w:pPr>
    <w:rPr>
      <w:rFonts w:ascii="Calibri" w:hAnsi="Calibri" w:cs="Times New Roman"/>
      <w:color w:val="000000"/>
      <w:kern w:val="0"/>
      <w14:ligatures w14:val="none"/>
    </w:rPr>
  </w:style>
  <w:style w:type="paragraph" w:customStyle="1" w:styleId="AxsumaHeader">
    <w:name w:val="Axsuma Header"/>
    <w:basedOn w:val="Normal"/>
    <w:link w:val="AxsumaHeaderChar"/>
    <w:qFormat/>
    <w:rsid w:val="00E91116"/>
    <w:pPr>
      <w:spacing w:before="840" w:after="720" w:line="240" w:lineRule="atLeast"/>
    </w:pPr>
    <w:rPr>
      <w:rFonts w:ascii="Inter SemiBold" w:hAnsi="Inter SemiBold"/>
      <w:b/>
      <w:bCs/>
      <w:sz w:val="44"/>
      <w:szCs w:val="44"/>
      <w:lang w:val="en-US"/>
    </w:rPr>
  </w:style>
  <w:style w:type="character" w:customStyle="1" w:styleId="AxsumaHeaderChar">
    <w:name w:val="Axsuma Header Char"/>
    <w:basedOn w:val="DefaultParagraphFont"/>
    <w:link w:val="AxsumaHeader"/>
    <w:rsid w:val="00E91116"/>
    <w:rPr>
      <w:rFonts w:ascii="Inter SemiBold" w:hAnsi="Inter SemiBold"/>
      <w:b/>
      <w:bCs/>
      <w:sz w:val="44"/>
      <w:szCs w:val="44"/>
      <w:lang w:val="en-US"/>
    </w:rPr>
  </w:style>
  <w:style w:type="paragraph" w:customStyle="1" w:styleId="AxsumaSubHeader1">
    <w:name w:val="Axsuma Sub Header 1"/>
    <w:basedOn w:val="BodyText3"/>
    <w:link w:val="AxsumaSubHeader1Char"/>
    <w:qFormat/>
    <w:rsid w:val="00E91116"/>
    <w:pPr>
      <w:tabs>
        <w:tab w:val="left" w:pos="8222"/>
      </w:tabs>
      <w:spacing w:line="276" w:lineRule="auto"/>
      <w:ind w:left="0" w:right="119"/>
      <w:jc w:val="left"/>
    </w:pPr>
    <w:rPr>
      <w:rFonts w:ascii="DM Sans 14pt Medium" w:hAnsi="DM Sans 14pt Medium" w:cs="Arial"/>
      <w:color w:val="0F4C3A"/>
    </w:rPr>
  </w:style>
  <w:style w:type="character" w:customStyle="1" w:styleId="AxsumaSubHeader1Char">
    <w:name w:val="Axsuma Sub Header 1 Char"/>
    <w:basedOn w:val="BodyText3Char"/>
    <w:link w:val="AxsumaSubHeader1"/>
    <w:rsid w:val="00E91116"/>
    <w:rPr>
      <w:rFonts w:ascii="DM Sans 14pt Medium" w:hAnsi="DM Sans 14pt Medium" w:cs="Arial"/>
      <w:color w:val="0F4C3A"/>
      <w:kern w:val="0"/>
      <w14:ligatures w14:val="none"/>
    </w:rPr>
  </w:style>
  <w:style w:type="paragraph" w:customStyle="1" w:styleId="AxsumabulletHeader">
    <w:name w:val="Axsuma bullet Header"/>
    <w:basedOn w:val="BodyText3"/>
    <w:link w:val="AxsumabulletHeaderChar"/>
    <w:qFormat/>
    <w:rsid w:val="00E91116"/>
    <w:pPr>
      <w:numPr>
        <w:numId w:val="1"/>
      </w:numPr>
      <w:tabs>
        <w:tab w:val="left" w:pos="8222"/>
      </w:tabs>
      <w:spacing w:line="276" w:lineRule="auto"/>
      <w:ind w:right="119"/>
      <w:jc w:val="left"/>
    </w:pPr>
    <w:rPr>
      <w:rFonts w:ascii="DM Sans 14pt Medium" w:hAnsi="DM Sans 14pt Medium" w:cs="Arial"/>
      <w:color w:val="0F4C3A"/>
      <w:sz w:val="20"/>
      <w:szCs w:val="20"/>
    </w:rPr>
  </w:style>
  <w:style w:type="character" w:customStyle="1" w:styleId="AxsumabulletHeaderChar">
    <w:name w:val="Axsuma bullet Header Char"/>
    <w:basedOn w:val="BodyText3Char"/>
    <w:link w:val="AxsumabulletHeader"/>
    <w:rsid w:val="00E91116"/>
    <w:rPr>
      <w:rFonts w:ascii="DM Sans 14pt Medium" w:hAnsi="DM Sans 14pt Medium" w:cs="Arial"/>
      <w:color w:val="0F4C3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72F147-BE94-42F2-A74B-9B62254F1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A46DD5-33C5-4341-84A0-36CBB7A57803}">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3.xml><?xml version="1.0" encoding="utf-8"?>
<ds:datastoreItem xmlns:ds="http://schemas.openxmlformats.org/officeDocument/2006/customXml" ds:itemID="{05D2C8CB-4B53-49B4-A9D0-338F62C078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Phipps-Hornby</dc:creator>
  <cp:keywords/>
  <dc:description/>
  <cp:lastModifiedBy>Charlotte Phipps-Hornby</cp:lastModifiedBy>
  <cp:revision>49</cp:revision>
  <dcterms:created xsi:type="dcterms:W3CDTF">2026-04-13T15:43:00Z</dcterms:created>
  <dcterms:modified xsi:type="dcterms:W3CDTF">2026-04-21T09:32:00Z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