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 undici</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24</w:t>
            </w:r>
          </w:p>
        </w:tc>
        <w:tc>
          <w:tcPr>
            <w:tcW w:type="dxa" w:w="1904"/>
            <w:shd w:val="clear" w:fill="F1EFF8"/>
          </w:tcPr>
          <w:p>
            <w:pPr>
              <w:spacing w:after="40"/>
            </w:pPr>
            <w:r>
              <w:rPr>
                <w:sz w:val="20"/>
              </w:rPr>
            </w:r>
            <w:r>
              <w:rPr>
                <w:sz w:val="20"/>
              </w:rPr>
              <w:t>ECHO-0 si compone dalle schegge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11</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