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giallo sul petto</w:t>
      </w:r>
      <w:r>
        <w:t>, stivali chiari con l'anello ciano alla caviglia. La sciarpa fucsia lo segue.</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36-56) [SCRITTO]</w:t>
      </w:r>
    </w:p>
    <w:p>
      <w:r>
        <w:t xml:space="preserve">Da lì in poi </w:t>
      </w:r>
      <w:r>
        <w:rPr>
          <w:b/>
        </w:rPr>
        <w:t>non sparisce: viene con voi.</w:t>
      </w:r>
      <w:r>
        <w:t xml:space="preserve"> Non come alleato — la lanterna la rivuole anche lui, per il motivo opposto al vostro. Cammina avanti, apre passaggi, avvisa quando c'è un pericolo, ogni tanto si dilegua e non si sa se tornerà.</w:t>
      </w:r>
    </w:p>
    <w:p>
      <w:r>
        <w:t xml:space="preserve">Per venti settori il giocatore ha in testa una domanda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p>
    <w:p>
      <w:r>
        <w:t>È qui che sceglie — non al finale. Al settore 65 i due Custodi non fanno altro che ricambiare. Senza questo momento, salvarlo alla fine sarebbe un regalo; con questo momento, è un debito.</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