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79)</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Fra i</w:t>
      </w:r>
      <w:r>
        <w:t xml:space="preserve"> nove e i quindici secondi dall'inizio, dal bordo, in alto, dalla parte in</w:t>
      </w:r>
      <w:r>
        <w:t xml:space="preserve"> cui stai andando. Entra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t xml:space="preserve">Oltre il 34 il gioco </w:t>
      </w:r>
      <w:r>
        <w:rPr>
          <w:b/>
        </w:rPr>
        <w:t>si ferma e lo dice</w:t>
      </w:r>
      <w:r>
        <w:t>, invece di far finta: schermata</w:t>
      </w:r>
      <w:r>
        <w:t xml:space="preserve"> «fine di questo tratto». Il confine si sposta man mano che costruiamo.</w:t>
      </w:r>
    </w:p>
    <w:p>
      <w:r>
        <w:rPr>
          <w:b/>
        </w:rPr>
        <w:t>Manca la seconda metà dell'atto II</w:t>
      </w:r>
      <w:r>
        <w:t xml:space="preserve">, cioè i settori </w:t>
      </w:r>
      <w:r>
        <w:rPr>
          <w:b/>
        </w:rPr>
        <w:t>35-65</w:t>
      </w:r>
      <w:r>
        <w:t>: lo scontro del 35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Si rialza, apre la fenditura, </w:t>
            </w:r>
            <w:r>
              <w:rPr>
                <w:b/>
                <w:sz w:val="20"/>
              </w:rPr>
              <w:t>vede il prezzo</w:t>
            </w:r>
            <w:r>
              <w:rPr>
                <w:sz w:val="20"/>
              </w:rPr>
              <w:t xml:space="preserve"> — la luce verde lo sfalda — e indica lo stesso: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