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Two necessary conditions on the half-line for minimal-time firing squads</w:t>
      </w:r>
    </w:p>
    <w:p>
      <w:pPr>
        <w:pStyle w:val="ListBullet"/>
      </w:pPr>
      <w:r>
        <w:t>A pumping lemma forces non-periodic structure up to the line i = t/3</w:t>
      </w:r>
    </w:p>
    <w:p>
      <w:pPr>
        <w:pStyle w:val="ListBullet"/>
      </w:pPr>
      <w:r>
        <w:t>An LRAT-certified proof that no four-state minimal-time solution exists</w:t>
      </w:r>
    </w:p>
    <w:p>
      <w:pPr>
        <w:pStyle w:val="ListBullet"/>
      </w:pPr>
      <w:r>
        <w:t>Five-state rules synchronize every line of length at most 14 in minimal time</w:t>
      </w:r>
    </w:p>
    <w:p>
      <w:pPr>
        <w:pStyle w:val="ListBullet"/>
      </w:pPr>
      <w:r>
        <w:t>Minimal-time five-state solutions use at least 15 half-line neighbourhoods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