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500" w:after="240"/>
      </w:pPr>
      <w:r>
        <w:rPr>
          <w:rFonts w:ascii="Aptos" w:hAnsi="Aptos"/>
          <w:color w:val="698577"/>
          <w:sz w:val="14"/>
          <w:b/>
        </w:rPr>
        <w:t>DOCUMENTAZIONE FUNZIONALE</w:t>
      </w:r>
    </w:p>
    <w:p>
      <w:pPr>
        <w:spacing w:before="0" w:after="180"/>
      </w:pPr>
      <w:r>
        <w:rPr>
          <w:rFonts w:ascii="Aptos" w:hAnsi="Aptos"/>
          <w:color w:val="24483A"/>
          <w:sz w:val="42"/>
          <w:b/>
        </w:rPr>
        <w:t>MIO Light
e MIODesign</w:t>
      </w:r>
    </w:p>
    <w:p>
      <w:pPr>
        <w:spacing w:before="0" w:after="440"/>
      </w:pPr>
      <w:r>
        <w:rPr>
          <w:rFonts w:ascii="Aptos" w:hAnsi="Aptos"/>
          <w:color w:val="52645B"/>
          <w:sz w:val="24"/>
        </w:rPr>
        <w:t>Descrizione del progetto, modello dati e flussi di configurazione e test prodotto</w:t>
      </w:r>
    </w:p>
    <w:tbl>
      <w:tblPr>
        <w:tblBorders>
          <w:top w:val="single" w:sz="4" w:color="D7E0DB"/>
          <w:left w:val="single" w:sz="4" w:color="D7E0DB"/>
          <w:bottom w:val="single" w:sz="4" w:color="D7E0DB"/>
          <w:right w:val="single" w:sz="4" w:color="D7E0DB"/>
          <w:insideH w:val="single" w:sz="4" w:color="D7E0DB"/>
          <w:insideV w:val="single" w:sz="4" w:color="D7E0DB"/>
        </w:tblBorders>
        <w:tblLayout w:type="fixed"/>
      </w:tblPr>
      <w:tblGrid>
        <w:gridCol w:w="3100"/>
        <w:gridCol w:w="7700"/>
      </w:tblGrid>
      <w:tr>
        <w:tc>
          <w:tcPr>
            <w:tcW w:w="3100" w:type="dxa"/>
            <w:shd w:fill="315B49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FFFFFF"/>
                <w:b/>
              </w:rPr>
              <w:t>Ambito</w:t>
            </w:r>
          </w:p>
        </w:tc>
        <w:tc>
          <w:tcPr>
            <w:tcW w:w="7700" w:type="dxa"/>
            <w:shd w:fill="315B49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FFFFFF"/>
                <w:b/>
              </w:rPr>
              <w:t>Sintesi</w:t>
            </w:r>
          </w:p>
        </w:tc>
      </w:tr>
      <w:tr>
        <w:tc>
          <w:tcPr>
            <w:tcW w:w="31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MIO Light Configurator</w:t>
            </w:r>
          </w:p>
        </w:tc>
        <w:tc>
          <w:tcPr>
            <w:tcW w:w="77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Prototipo guidato per associare un modello GLB, attributi commerciali e mesh, verificare i default e simulare la pubblicazione.</w:t>
            </w:r>
          </w:p>
        </w:tc>
      </w:tr>
      <w:tr>
        <w:tc>
          <w:tcPr>
            <w:tcW w:w="31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MIODesign</w:t>
            </w:r>
          </w:p>
        </w:tc>
        <w:tc>
          <w:tcPr>
            <w:tcW w:w="77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Applicazione di manutenzione dati con Supabase: prodotti, misure, attributi, opzioni, modelli, codifica, prezzi e test configurazione.</w:t>
            </w:r>
          </w:p>
        </w:tc>
      </w:tr>
    </w:tbl>
    <w:p>
      <w:pPr>
        <w:spacing w:before="0" w:after="20"/>
      </w:pPr>
    </w:p>
    <w:p>
      <w:pPr>
        <w:spacing w:before="260" w:after="120"/>
      </w:pPr>
      <w:r>
        <w:rPr>
          <w:rFonts w:ascii="Aptos" w:hAnsi="Aptos"/>
          <w:color w:val="6C7771"/>
          <w:sz w:val="16"/>
          <w:i/>
        </w:rPr>
        <w:t>Documento ricavato dal codice, dai README e dallo schema SQL presenti nel repository.</w:t>
      </w:r>
    </w:p>
    <w:p>
      <w:pPr>
        <w:spacing w:before="180" w:after="140"/>
      </w:pPr>
      <w:r>
        <w:rPr>
          <w:rFonts w:ascii="Aptos" w:hAnsi="Aptos"/>
          <w:color w:val="8A5E22"/>
          <w:sz w:val="19"/>
          <w:b/>
        </w:rPr>
        <w:t>Stato del repository: il configuratore MIO Light è una demo locale; MIODesign è la parte con persistenza Supabase. Le due applicazioni sono distinte e non vanno interpretate come un’unica integrazione già attiva.</w:t>
      </w:r>
    </w:p>
    <w:p>
      <w:r>
        <w:br w:type="page"/>
      </w:r>
    </w:p>
    <w:p>
      <w:pPr>
        <w:pStyle w:val="Heading1"/>
        <w:spacing w:before="220" w:after="110"/>
      </w:pPr>
      <w:r>
        <w:rPr>
          <w:rFonts w:ascii="Aptos" w:hAnsi="Aptos"/>
          <w:color w:val="24483A"/>
          <w:sz w:val="32"/>
          <w:b/>
        </w:rPr>
        <w:t>1. Descrizione del progetto</w:t>
      </w:r>
    </w:p>
    <w:p>
      <w:pPr>
        <w:spacing w:before="0" w:after="100"/>
      </w:pPr>
      <w:r>
        <w:rPr>
          <w:rFonts w:ascii="Aptos" w:hAnsi="Aptos"/>
          <w:color w:val="26352F"/>
          <w:sz w:val="21"/>
        </w:rPr>
        <w:t>Il repository raccoglie due applicazioni web statiche per gestire prodotti configurabili e i relativi modelli 3D. La finalità comune è collegare i dati commerciali (attributi e opzioni) alla rappresentazione visuale del prodotto, ma i rispettivi ambiti e livelli di integrazione sono diversi.</w:t>
      </w:r>
    </w:p>
    <w:p>
      <w:pPr>
        <w:pStyle w:val="Heading2"/>
        <w:spacing w:before="150" w:after="110"/>
      </w:pPr>
      <w:r>
        <w:rPr>
          <w:rFonts w:ascii="Aptos" w:hAnsi="Aptos"/>
          <w:color w:val="24483A"/>
          <w:sz w:val="25"/>
          <w:b/>
        </w:rPr>
        <w:t>MIO Light Configurator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Interfaccia per operatore organizzata in sei fasi: scelta prodotto, caricamento GLB, definizione di attributi/opzioni, classificazione e mappatura delle mesh, default e test, validazione e pubblicazione.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Il viewer Three.js legge gerarchia e mesh del GLB; le mesh sono classificate fisse o variabili e le variabili sono collegate ad attributi. Le opzioni possono essere associate a materiali GLB e a immagini JPG di anteprima.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Le bozze e il file GLB sono salvati nel browser (IndexedDB/localStorage). Catalogo, opzioni compatibili e pubblicazione sono dimostrativi e non sono collegati alle API MIO/Pigreco; la pubblicazione crea solo una versione locale.</w:t>
      </w:r>
    </w:p>
    <w:p>
      <w:pPr>
        <w:pStyle w:val="Heading2"/>
        <w:spacing w:before="150" w:after="110"/>
      </w:pPr>
      <w:r>
        <w:rPr>
          <w:rFonts w:ascii="Aptos" w:hAnsi="Aptos"/>
          <w:color w:val="24483A"/>
          <w:sz w:val="25"/>
          <w:b/>
        </w:rPr>
        <w:t>MIODesign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Interfaccia separata per la manutenzione delle anagrafiche, protetta da Supabase Auth e dalle policy RLS. I dati strutturati sono su PostgreSQL/Supabase e i GLB nel bucket privato modelli-glb.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Gestisce prodotti e misure (terne X/Y/Z), GLB per misura e mappature mesh indipendenti per ciascun modello; attributi e opzioni generali/derivate; materiali; combinazioni commerciali, listini e prezzi.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Include la prova di configurazione con anteprima 3D e risoluzione di codice, descrizione e prezzo. Lo schema prevede versioni di prodotto pubblicate, ma il README segnala che manca ancora una maschera di gestione delle versioni.</w:t>
      </w:r>
    </w:p>
    <w:p>
      <w:pPr>
        <w:pStyle w:val="Heading2"/>
        <w:spacing w:before="150" w:after="110"/>
      </w:pPr>
      <w:r>
        <w:rPr>
          <w:rFonts w:ascii="Aptos" w:hAnsi="Aptos"/>
          <w:color w:val="24483A"/>
          <w:sz w:val="25"/>
          <w:b/>
        </w:rPr>
        <w:t>Persistenza e confini</w:t>
      </w:r>
    </w:p>
    <w:p>
      <w:pPr>
        <w:spacing w:before="0" w:after="100"/>
      </w:pPr>
      <w:r>
        <w:rPr>
          <w:rFonts w:ascii="Aptos" w:hAnsi="Aptos"/>
          <w:color w:val="26352F"/>
          <w:sz w:val="21"/>
        </w:rPr>
        <w:t>Lo schema SQL descritto nelle sezioni seguenti appartiene a MIODesign (16 tabelle relazionali). Non rappresenta il database del prototipo MIO Light, che usa dati demo e salvataggio locale. Il progetto MIODesign documenta anche il limite corrente di 5.000 combinazioni generate per prodotto nella codifica.</w:t>
      </w:r>
    </w:p>
    <w:p>
      <w:r>
        <w:br w:type="page"/>
      </w:r>
    </w:p>
    <w:p>
      <w:pPr>
        <w:pStyle w:val="Heading1"/>
        <w:spacing w:before="220" w:after="110"/>
      </w:pPr>
      <w:r>
        <w:rPr>
          <w:rFonts w:ascii="Aptos" w:hAnsi="Aptos"/>
          <w:color w:val="24483A"/>
          <w:sz w:val="32"/>
          <w:b/>
        </w:rPr>
        <w:t>2. Elenco delle tabelle MIODesign</w:t>
      </w:r>
    </w:p>
    <w:p>
      <w:pPr>
        <w:spacing w:before="0" w:after="100"/>
      </w:pPr>
      <w:r>
        <w:rPr>
          <w:rFonts w:ascii="Aptos" w:hAnsi="Aptos"/>
          <w:color w:val="26352F"/>
          <w:sz w:val="21"/>
        </w:rPr>
        <w:t>Tutte le tabelle elencate sono abilitate a RLS; la policy definita nello schema consente le operazioni agli utenti autenticati. Le righe indicano chiave primaria e ruolo funzionale; le foreign key e le cardinalità sono riepilogate nella sezione successiva.</w:t>
      </w:r>
    </w:p>
    <w:tbl>
      <w:tblPr>
        <w:tblBorders>
          <w:top w:val="single" w:sz="4" w:color="D7E0DB"/>
          <w:left w:val="single" w:sz="4" w:color="D7E0DB"/>
          <w:bottom w:val="single" w:sz="4" w:color="D7E0DB"/>
          <w:right w:val="single" w:sz="4" w:color="D7E0DB"/>
          <w:insideH w:val="single" w:sz="4" w:color="D7E0DB"/>
          <w:insideV w:val="single" w:sz="4" w:color="D7E0DB"/>
        </w:tblBorders>
        <w:tblLayout w:type="fixed"/>
      </w:tblPr>
      <w:tblGrid>
        <w:gridCol w:w="3000"/>
        <w:gridCol w:w="7800"/>
      </w:tblGrid>
      <w:tr>
        <w:tc>
          <w:tcPr>
            <w:tcW w:w="3000" w:type="dxa"/>
            <w:shd w:fill="315B49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FFFFFF"/>
                <w:b/>
              </w:rPr>
              <w:t>Tabella</w:t>
            </w:r>
          </w:p>
        </w:tc>
        <w:tc>
          <w:tcPr>
            <w:tcW w:w="7800" w:type="dxa"/>
            <w:shd w:fill="315B49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FFFFFF"/>
                <w:b/>
              </w:rPr>
              <w:t>Funzione e chiavi principali</w:t>
            </w:r>
          </w:p>
        </w:tc>
      </w:tr>
      <w:tr>
        <w:tc>
          <w:tcPr>
            <w:tcW w:w="30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risorse_glb</w:t>
            </w:r>
          </w:p>
        </w:tc>
        <w:tc>
          <w:tcPr>
            <w:tcW w:w="78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Archivio dei file GLB (oggetto o materiale), percorso, impronta e data caricamento. PK: id_glb.</w:t>
            </w:r>
          </w:p>
        </w:tc>
      </w:tr>
      <w:tr>
        <w:tc>
          <w:tcPr>
            <w:tcW w:w="30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materiali</w:t>
            </w:r>
          </w:p>
        </w:tc>
        <w:tc>
          <w:tcPr>
            <w:tcW w:w="78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Anagrafica materiali e riferimento interno; id_glb è facoltativo. PK: id_materiale.</w:t>
            </w:r>
          </w:p>
        </w:tc>
      </w:tr>
      <w:tr>
        <w:tc>
          <w:tcPr>
            <w:tcW w:w="30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attributi</w:t>
            </w:r>
          </w:p>
        </w:tc>
        <w:tc>
          <w:tcPr>
            <w:tcW w:w="78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Attributi di tipo Materiale o Visibilità; supporta attributi derivati tramite id_attributo_padre. PK: id_attributo.</w:t>
            </w:r>
          </w:p>
        </w:tc>
      </w:tr>
      <w:tr>
        <w:tc>
          <w:tcPr>
            <w:tcW w:w="30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opzioni</w:t>
            </w:r>
          </w:p>
        </w:tc>
        <w:tc>
          <w:tcPr>
            <w:tcW w:w="78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Opzioni di un attributo, collegate a materiale oppure valore di visibilità, con ordine e stato attivo. PK: id_opzione.</w:t>
            </w:r>
          </w:p>
        </w:tc>
      </w:tr>
      <w:tr>
        <w:tc>
          <w:tcPr>
            <w:tcW w:w="30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attributi_opzioni</w:t>
            </w:r>
          </w:p>
        </w:tc>
        <w:tc>
          <w:tcPr>
            <w:tcW w:w="78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Associazione attributo-opzione: determina le opzioni esposte, comprese le selezioni dei derivati. PK: (id_attributo, id_opzione).</w:t>
            </w:r>
          </w:p>
        </w:tc>
      </w:tr>
      <w:tr>
        <w:tc>
          <w:tcPr>
            <w:tcW w:w="30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prodotti</w:t>
            </w:r>
          </w:p>
        </w:tc>
        <w:tc>
          <w:tcPr>
            <w:tcW w:w="78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Anagrafica del prodotto. PK: id_prodotto.</w:t>
            </w:r>
          </w:p>
        </w:tc>
      </w:tr>
      <w:tr>
        <w:tc>
          <w:tcPr>
            <w:tcW w:w="30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misure</w:t>
            </w:r>
          </w:p>
        </w:tc>
        <w:tc>
          <w:tcPr>
            <w:tcW w:w="78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Misure X/Y/Z e unità di un prodotto; può riferire il relativo GLB. PK: id_misura; unicità per prodotto e dimensioni.</w:t>
            </w:r>
          </w:p>
        </w:tc>
      </w:tr>
      <w:tr>
        <w:tc>
          <w:tcPr>
            <w:tcW w:w="30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prodotti_attributi</w:t>
            </w:r>
          </w:p>
        </w:tc>
        <w:tc>
          <w:tcPr>
            <w:tcW w:w="78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Attributi assegnati al prodotto, con default, ordine e obbligatorietà. PK: (id_prodotto, id_attributo).</w:t>
            </w:r>
          </w:p>
        </w:tc>
      </w:tr>
      <w:tr>
        <w:tc>
          <w:tcPr>
            <w:tcW w:w="30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configurazioni</w:t>
            </w:r>
          </w:p>
        </w:tc>
        <w:tc>
          <w:tcPr>
            <w:tcW w:w="78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Opzioni ammesse per ciascun attributo assegnato al prodotto. PK: (id_prodotto, id_attributo, id_opzione).</w:t>
            </w:r>
          </w:p>
        </w:tc>
      </w:tr>
      <w:tr>
        <w:tc>
          <w:tcPr>
            <w:tcW w:w="30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mesh_glb</w:t>
            </w:r>
          </w:p>
        </w:tc>
        <w:tc>
          <w:tcPr>
            <w:tcW w:w="78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Mesh/nodi identificati in una risorsa GLB, con percorso, indice e materiale base. PK: id_mesh.</w:t>
            </w:r>
          </w:p>
        </w:tc>
      </w:tr>
      <w:tr>
        <w:tc>
          <w:tcPr>
            <w:tcW w:w="30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associazioni_mesh</w:t>
            </w:r>
          </w:p>
        </w:tc>
        <w:tc>
          <w:tcPr>
            <w:tcW w:w="78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Collega mesh e prodotto ad un attributo con ruolo Materiale o Visibilità. PK: id_associazione.</w:t>
            </w:r>
          </w:p>
        </w:tc>
      </w:tr>
      <w:tr>
        <w:tc>
          <w:tcPr>
            <w:tcW w:w="30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listini</w:t>
            </w:r>
          </w:p>
        </w:tc>
        <w:tc>
          <w:tcPr>
            <w:tcW w:w="78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Listini e valuta; possono essere attivi o inattivi. PK: id_listino.</w:t>
            </w:r>
          </w:p>
        </w:tc>
      </w:tr>
      <w:tr>
        <w:tc>
          <w:tcPr>
            <w:tcW w:w="30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codifica</w:t>
            </w:r>
          </w:p>
        </w:tc>
        <w:tc>
          <w:tcPr>
            <w:tcW w:w="78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Combinazione commerciale per prodotto e misura: chiave combinazione, codice e descrizione articolo. PK: id_codice.</w:t>
            </w:r>
          </w:p>
        </w:tc>
      </w:tr>
      <w:tr>
        <w:tc>
          <w:tcPr>
            <w:tcW w:w="30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codifica_dettagli</w:t>
            </w:r>
          </w:p>
        </w:tc>
        <w:tc>
          <w:tcPr>
            <w:tcW w:w="78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Opzioni scelte per attributo in una combinazione codificata. PK: (id_codice, id_attributo).</w:t>
            </w:r>
          </w:p>
        </w:tc>
      </w:tr>
      <w:tr>
        <w:tc>
          <w:tcPr>
            <w:tcW w:w="30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prezzi</w:t>
            </w:r>
          </w:p>
        </w:tc>
        <w:tc>
          <w:tcPr>
            <w:tcW w:w="78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Prezzo di una combinazione in un listino; NULL indica prezzo assente, zero è un prezzo valido. PK: (id_listino, id_codice).</w:t>
            </w:r>
          </w:p>
        </w:tc>
      </w:tr>
      <w:tr>
        <w:tc>
          <w:tcPr>
            <w:tcW w:w="30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versioni_prodotto</w:t>
            </w:r>
          </w:p>
        </w:tc>
        <w:tc>
          <w:tcPr>
            <w:tcW w:w="78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Registro delle versioni pubblicate/ritirate con snapshot JSON. PK: id_versione; numero versione univoco per prodotto.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pStyle w:val="Heading1"/>
        <w:spacing w:before="220" w:after="110"/>
      </w:pPr>
      <w:r>
        <w:rPr>
          <w:rFonts w:ascii="Aptos" w:hAnsi="Aptos"/>
          <w:color w:val="24483A"/>
          <w:sz w:val="32"/>
          <w:b/>
        </w:rPr>
        <w:t>3. Relazioni tra le tabelle</w:t>
      </w:r>
    </w:p>
    <w:tbl>
      <w:tblPr>
        <w:tblBorders>
          <w:top w:val="single" w:sz="4" w:color="D7E0DB"/>
          <w:left w:val="single" w:sz="4" w:color="D7E0DB"/>
          <w:bottom w:val="single" w:sz="4" w:color="D7E0DB"/>
          <w:right w:val="single" w:sz="4" w:color="D7E0DB"/>
          <w:insideH w:val="single" w:sz="4" w:color="D7E0DB"/>
          <w:insideV w:val="single" w:sz="4" w:color="D7E0DB"/>
        </w:tblBorders>
        <w:tblLayout w:type="fixed"/>
      </w:tblPr>
      <w:tblGrid>
        <w:gridCol w:w="3300"/>
        <w:gridCol w:w="7500"/>
      </w:tblGrid>
      <w:tr>
        <w:tc>
          <w:tcPr>
            <w:tcW w:w="3300" w:type="dxa"/>
            <w:shd w:fill="315B49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FFFFFF"/>
                <w:b/>
              </w:rPr>
              <w:t>Relazione</w:t>
            </w:r>
          </w:p>
        </w:tc>
        <w:tc>
          <w:tcPr>
            <w:tcW w:w="7500" w:type="dxa"/>
            <w:shd w:fill="315B49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FFFFFF"/>
                <w:b/>
              </w:rPr>
              <w:t>Significato / vincolo</w:t>
            </w:r>
          </w:p>
        </w:tc>
      </w:tr>
      <w:tr>
        <w:tc>
          <w:tcPr>
            <w:tcW w:w="3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risorse_glb 1 — 0..N materiali</w:t>
            </w:r>
          </w:p>
        </w:tc>
        <w:tc>
          <w:tcPr>
            <w:tcW w:w="7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materiali.id_glb è nullable: un materiale può essere censito prima del caricamento del suo GLB.</w:t>
            </w:r>
          </w:p>
        </w:tc>
      </w:tr>
      <w:tr>
        <w:tc>
          <w:tcPr>
            <w:tcW w:w="3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risorse_glb 1 — 0..N misure</w:t>
            </w:r>
          </w:p>
        </w:tc>
        <w:tc>
          <w:tcPr>
            <w:tcW w:w="7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misure.id_glb collega il modello 3D alla misura; il riferimento è facoltativo.</w:t>
            </w:r>
          </w:p>
        </w:tc>
      </w:tr>
      <w:tr>
        <w:tc>
          <w:tcPr>
            <w:tcW w:w="3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risorse_glb 1 — N mesh_glb</w:t>
            </w:r>
          </w:p>
        </w:tc>
        <w:tc>
          <w:tcPr>
            <w:tcW w:w="7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Ogni mesh appartiene a una risorsa GLB; l’eliminazione della risorsa elimina le mesh.</w:t>
            </w:r>
          </w:p>
        </w:tc>
      </w:tr>
      <w:tr>
        <w:tc>
          <w:tcPr>
            <w:tcW w:w="3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attributi 1 — 0..N opzioni</w:t>
            </w:r>
          </w:p>
        </w:tc>
        <w:tc>
          <w:tcPr>
            <w:tcW w:w="7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Ogni opzione appartiene a un attributo (cascade). Per tipo Materiale si usa id_materiale; per Visibilità valore_visibilita.</w:t>
            </w:r>
          </w:p>
        </w:tc>
      </w:tr>
      <w:tr>
        <w:tc>
          <w:tcPr>
            <w:tcW w:w="3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attributi 1 — 0..N attributi derivati</w:t>
            </w:r>
          </w:p>
        </w:tc>
        <w:tc>
          <w:tcPr>
            <w:tcW w:w="7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id_attributo_padre è una relazione ricorsiva; il padre deve essere generale e avere lo stesso tipo.</w:t>
            </w:r>
          </w:p>
        </w:tc>
      </w:tr>
      <w:tr>
        <w:tc>
          <w:tcPr>
            <w:tcW w:w="3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attributi N — M opzioni (attributi_opzioni)</w:t>
            </w:r>
          </w:p>
        </w:tc>
        <w:tc>
          <w:tcPr>
            <w:tcW w:w="7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Definisce quali opzioni sono esposte per un attributo. Un derivato può esporre solo opzioni del padre; un generale espone le proprie.</w:t>
            </w:r>
          </w:p>
        </w:tc>
      </w:tr>
      <w:tr>
        <w:tc>
          <w:tcPr>
            <w:tcW w:w="3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prodotti 1 — N misure</w:t>
            </w:r>
          </w:p>
        </w:tc>
        <w:tc>
          <w:tcPr>
            <w:tcW w:w="7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Ogni misura appartiene a un prodotto; le dimensioni X/Y/Z sono univoche per prodotto.</w:t>
            </w:r>
          </w:p>
        </w:tc>
      </w:tr>
      <w:tr>
        <w:tc>
          <w:tcPr>
            <w:tcW w:w="3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prodotti N — M attributi (prodotti_attributi)</w:t>
            </w:r>
          </w:p>
        </w:tc>
        <w:tc>
          <w:tcPr>
            <w:tcW w:w="7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Associazione con default, ordine e obbligatorietà; il default deve appartenere alle opzioni ammesse.</w:t>
            </w:r>
          </w:p>
        </w:tc>
      </w:tr>
      <w:tr>
        <w:tc>
          <w:tcPr>
            <w:tcW w:w="3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prodotti_attributi 1 — N configurazioni</w:t>
            </w:r>
          </w:p>
        </w:tc>
        <w:tc>
          <w:tcPr>
            <w:tcW w:w="7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configurazioni elenca le opzioni consentite per il singolo attributo del prodotto e vincola l’opzione a attributi_opzioni.</w:t>
            </w:r>
          </w:p>
        </w:tc>
      </w:tr>
      <w:tr>
        <w:tc>
          <w:tcPr>
            <w:tcW w:w="3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prodotti + mesh_glb → associazioni_mesh</w:t>
            </w:r>
          </w:p>
        </w:tc>
        <w:tc>
          <w:tcPr>
            <w:tcW w:w="7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Ogni associazione riferisce un prodotto, una mesh e un attributo assegnato al prodotto; ruolo e tipo attributo devono coincidere.</w:t>
            </w:r>
          </w:p>
        </w:tc>
      </w:tr>
      <w:tr>
        <w:tc>
          <w:tcPr>
            <w:tcW w:w="3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prodotti 1 — N codifica; misure 1 — N codifica</w:t>
            </w:r>
          </w:p>
        </w:tc>
        <w:tc>
          <w:tcPr>
            <w:tcW w:w="7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Ogni combinazione commerciale ha prodotto e misura coerenti; la misura deve appartenere a quel prodotto.</w:t>
            </w:r>
          </w:p>
        </w:tc>
      </w:tr>
      <w:tr>
        <w:tc>
          <w:tcPr>
            <w:tcW w:w="3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codifica 1 — N codifica_dettagli</w:t>
            </w:r>
          </w:p>
        </w:tc>
        <w:tc>
          <w:tcPr>
            <w:tcW w:w="7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I dettagli indicano l’opzione per ciascun attributo; l’opzione deve essere ammessa nella configurazione del prodotto.</w:t>
            </w:r>
          </w:p>
        </w:tc>
      </w:tr>
      <w:tr>
        <w:tc>
          <w:tcPr>
            <w:tcW w:w="3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listini N — M codifica (prezzi)</w:t>
            </w:r>
          </w:p>
        </w:tc>
        <w:tc>
          <w:tcPr>
            <w:tcW w:w="7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La tabella prezzi associa una combinazione a un listino e memorizza il relativo prezzo.</w:t>
            </w:r>
          </w:p>
        </w:tc>
      </w:tr>
      <w:tr>
        <w:tc>
          <w:tcPr>
            <w:tcW w:w="3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prodotti 1 — N versioni_prodotto</w:t>
            </w:r>
          </w:p>
        </w:tc>
        <w:tc>
          <w:tcPr>
            <w:tcW w:w="7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Ogni versione appartiene a un prodotto; numero versione univoco per prodotto, con stato e snapshot.</w:t>
            </w:r>
          </w:p>
        </w:tc>
      </w:tr>
    </w:tbl>
    <w:p>
      <w:pPr>
        <w:spacing w:before="0" w:after="20"/>
      </w:pPr>
    </w:p>
    <w:p>
      <w:pPr>
        <w:spacing w:before="0" w:after="100"/>
      </w:pPr>
      <w:r>
        <w:rPr>
          <w:rFonts w:ascii="Aptos" w:hAnsi="Aptos"/>
          <w:color w:val="52645B"/>
          <w:sz w:val="17"/>
        </w:rPr>
        <w:t>Vincoli di cancellazione rilevanti: eliminando prodotto si eliminano misure, assegnazioni, codifiche e versioni; eliminando un attributo o un’opzione si propagano le cancellazioni nelle relative associazioni/configurazioni. Il riferimento materiale di un’opzione diventa NULL se il materiale è eliminato.</w:t>
      </w:r>
    </w:p>
    <w:p>
      <w:r>
        <w:br w:type="page"/>
      </w:r>
    </w:p>
    <w:p>
      <w:pPr>
        <w:pStyle w:val="Heading1"/>
        <w:spacing w:before="220" w:after="110"/>
      </w:pPr>
      <w:r>
        <w:rPr>
          <w:rFonts w:ascii="Aptos" w:hAnsi="Aptos"/>
          <w:color w:val="24483A"/>
          <w:sz w:val="32"/>
          <w:b/>
        </w:rPr>
        <w:t>4. Flusso di configurazione e test prodotto</w:t>
      </w:r>
    </w:p>
    <w:p>
      <w:pPr>
        <w:spacing w:before="0" w:after="120"/>
      </w:pPr>
      <w:r>
        <w:rPr>
          <w:rFonts w:ascii="Aptos" w:hAnsi="Aptos"/>
          <w:color w:val="315B49"/>
          <w:sz w:val="22"/>
          <w:b/>
        </w:rPr>
        <w:t>A. Flusso guidato MIO Light (prototipo operatore)</w:t>
      </w:r>
    </w:p>
    <w:tbl>
      <w:tblPr>
        <w:tblBorders>
          <w:top w:val="single" w:sz="4" w:color="D7E0DB"/>
          <w:left w:val="single" w:sz="4" w:color="D7E0DB"/>
          <w:bottom w:val="single" w:sz="4" w:color="D7E0DB"/>
          <w:right w:val="single" w:sz="4" w:color="D7E0DB"/>
          <w:insideH w:val="single" w:sz="4" w:color="D7E0DB"/>
          <w:insideV w:val="single" w:sz="4" w:color="D7E0DB"/>
        </w:tblBorders>
        <w:tblLayout w:type="fixed"/>
      </w:tblPr>
      <w:tblGrid>
        <w:gridCol w:w="2500"/>
        <w:gridCol w:w="8300"/>
      </w:tblGrid>
      <w:tr>
        <w:tc>
          <w:tcPr>
            <w:tcW w:w="2500" w:type="dxa"/>
            <w:shd w:fill="315B49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FFFFFF"/>
                <w:b/>
              </w:rPr>
              <w:t>Fase</w:t>
            </w:r>
          </w:p>
        </w:tc>
        <w:tc>
          <w:tcPr>
            <w:tcW w:w="8300" w:type="dxa"/>
            <w:shd w:fill="315B49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FFFFFF"/>
                <w:b/>
              </w:rPr>
              <w:t>Attività e risultato atteso</w:t>
            </w:r>
          </w:p>
        </w:tc>
      </w:tr>
      <w:tr>
        <w:tc>
          <w:tcPr>
            <w:tcW w:w="2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1. Prodotto</w:t>
            </w:r>
          </w:p>
        </w:tc>
        <w:tc>
          <w:tcPr>
            <w:tcW w:w="8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Ricerca e selezione di un prodotto dell’anagrafica dimostrativa; si caricano gli attributi sorgente e i default demo.</w:t>
            </w:r>
          </w:p>
        </w:tc>
      </w:tr>
      <w:tr>
        <w:tc>
          <w:tcPr>
            <w:tcW w:w="2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2. Modello 3D</w:t>
            </w:r>
          </w:p>
        </w:tc>
        <w:tc>
          <w:tcPr>
            <w:tcW w:w="8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Caricamento GLB, lettura di nodi/mesh e materiali, verifica visiva e selezione delle mesh nel viewer.</w:t>
            </w:r>
          </w:p>
        </w:tc>
      </w:tr>
      <w:tr>
        <w:tc>
          <w:tcPr>
            <w:tcW w:w="2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3. Attributi e opzioni</w:t>
            </w:r>
          </w:p>
        </w:tc>
        <w:tc>
          <w:tcPr>
            <w:tcW w:w="8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Definizione di attributi, numero di opzioni, codici e descrizioni; associazione facoltativa del materiale GLB e anteprima JPG.</w:t>
            </w:r>
          </w:p>
        </w:tc>
      </w:tr>
      <w:tr>
        <w:tc>
          <w:tcPr>
            <w:tcW w:w="2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4. Mappatura mesh</w:t>
            </w:r>
          </w:p>
        </w:tc>
        <w:tc>
          <w:tcPr>
            <w:tcW w:w="8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Ogni mesh viene classificata fissa o variabile. Ogni mesh variabile deve essere collegata a un attributo; più mesh possono condividere lo stesso attributo.</w:t>
            </w:r>
          </w:p>
        </w:tc>
      </w:tr>
      <w:tr>
        <w:tc>
          <w:tcPr>
            <w:tcW w:w="25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5. Default e test</w:t>
            </w:r>
          </w:p>
        </w:tc>
        <w:tc>
          <w:tcPr>
            <w:tcW w:w="8300" w:type="dxa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Applicazione dei default sorgente al viewer. L’operatore prova almeno un’alternativa per ogni attributo, ripristina i default e conferma i controlli manuali di alternative e compatibilità.</w:t>
            </w:r>
          </w:p>
        </w:tc>
      </w:tr>
      <w:tr>
        <w:tc>
          <w:tcPr>
            <w:tcW w:w="25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6. Validazione e pubblicazione</w:t>
            </w:r>
          </w:p>
        </w:tc>
        <w:tc>
          <w:tcPr>
            <w:tcW w:w="8300" w:type="dxa"/>
            <w:shd w:fill="F3F6F4"/>
          </w:tcPr>
          <w:p>
            <w:pPr>
              <w:spacing w:before="30" w:after="40"/>
            </w:pPr>
            <w:r>
              <w:rPr>
                <w:rFonts w:ascii="Aptos" w:hAnsi="Aptos"/>
                <w:sz w:val="17"/>
                <w:color w:val="26352F"/>
              </w:rPr>
              <w:t>Controlli automatici su GLB/geometria, classificazione e mappatura, opzioni/materiali, default e test. Gli errori bloccanti impediscono la pubblicazione; JPG mancanti sono avvisi. La pubblicazione è locale/demo.</w:t>
            </w:r>
          </w:p>
        </w:tc>
      </w:tr>
    </w:tbl>
    <w:p>
      <w:pPr>
        <w:spacing w:before="0" w:after="20"/>
      </w:pPr>
    </w:p>
    <w:p>
      <w:pPr>
        <w:pStyle w:val="Heading2"/>
        <w:spacing w:before="150" w:after="110"/>
      </w:pPr>
      <w:r>
        <w:rPr>
          <w:rFonts w:ascii="Aptos" w:hAnsi="Aptos"/>
          <w:color w:val="24483A"/>
          <w:sz w:val="25"/>
          <w:b/>
        </w:rPr>
        <w:t>Controlli automatici principali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È richiesto un GLB leggibile con almeno una mesh; una mesh variabile senza attributo è bloccante. Mesh non classificate generano un avviso da verificare.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Per ogni attributo collegato a mesh variabili, tutte le opzioni e il default devono avere un materiale associato. Devono esistere attributi e opzioni valide.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Il test richiede default applicati, prova di un’alternativa per ciascun attributo, ripristino dei default e conferma dei due controlli manuali. Il prototipo non interroga il backend per compatibilità.</w:t>
      </w:r>
    </w:p>
    <w:p>
      <w:pPr>
        <w:pStyle w:val="Heading2"/>
        <w:spacing w:before="150" w:after="110"/>
      </w:pPr>
      <w:r>
        <w:rPr>
          <w:rFonts w:ascii="Aptos" w:hAnsi="Aptos"/>
          <w:color w:val="24483A"/>
          <w:sz w:val="25"/>
          <w:b/>
        </w:rPr>
        <w:t>B. Flusso di prova MIODesign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L’operatore autenticato seleziona prodotto, misura e listino, imposta le opzioni ammesse e consulta in un’unica vista il codice, la descrizione, il prezzo della combinazione e l’anteprima 3D.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In manutenzione, per ogni prodotto si possono gestire le misure e i relativi GLB; le associazioni mesh-attributo sono indipendenti per ciascun GLB. La prova applica il materiale selezionato o le regole di visibilità al viewer.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La codifica genera combinazioni misura × opzioni ammesse e memorizza i dettagli delle opzioni; i prezzi sono per listino. Il README documenta un limite di 5.000 combinazioni per prodotto.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Le versioni pubblicate sono previste nel modello dati, ma la maschera per gestirle non è ancora implementata. Non confondere tale modello con la “pubblicazione” simulata localmente in MIO Light.</w:t>
      </w:r>
    </w:p>
    <w:p>
      <w:pPr>
        <w:pStyle w:val="Heading1"/>
        <w:spacing w:before="220" w:after="110"/>
      </w:pPr>
      <w:r>
        <w:rPr>
          <w:rFonts w:ascii="Aptos" w:hAnsi="Aptos"/>
          <w:color w:val="24483A"/>
          <w:sz w:val="32"/>
          <w:b/>
        </w:rPr>
        <w:t>5. Sintesi dello stato e note operative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MIO Light: demo front-end; prodotti e cataloghi sono hard-coded dimostrativi. Bozze/GLB restano nel browser e non sono sincronizzati con MIO/Pigreco.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MIODesign: app distinta con Supabase Auth, PostgreSQL, RLS e archivio privato GLB. L’installazione iniziale dello schema è descritta in miodesign/supabase/schema.sql.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Il modello dati supporta integrità tra prodotto, attributi, opzioni consentite, mesh, codifica e prezzi attraverso foreign key, trigger e vincoli univoci.</w:t>
      </w:r>
    </w:p>
    <w:p>
      <w:pPr>
        <w:ind w:left="360" w:hanging="180"/>
        <w:spacing w:after="70"/>
      </w:pPr>
      <w:r>
        <w:rPr>
          <w:rFonts w:ascii="Aptos" w:hAnsi="Aptos"/>
          <w:color w:val="26352F"/>
          <w:sz w:val="20"/>
        </w:rPr>
        <w:t>•  Le immagini JPG sono anteprime di opzione nel prototipo MIO Light; non sono una tabella dedicata nello schema MIODesign.</w:t>
      </w:r>
    </w:p>
    <w:p>
      <w:pPr>
        <w:spacing w:before="220" w:after="100"/>
      </w:pPr>
      <w:r>
        <w:rPr>
          <w:rFonts w:ascii="Aptos" w:hAnsi="Aptos"/>
          <w:color w:val="6C7771"/>
          <w:sz w:val="16"/>
          <w:i/>
        </w:rPr>
        <w:t>Fonti interne: README.md, app.js, miodesign/README.md, miodesign/supabase/schema.sql e product-preview.js.</w:t>
      </w:r>
    </w:p>
    <w:sectPr>
      <w:pgSz w:w="12240" w:h="15840"/>
      <w:pgMar w:top="900" w:right="900" w:bottom="900" w:left="900" w:header="450" w:footer="4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 w:line="28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rPr>
      <w:b/>
      <w:color w:val="24483A"/>
      <w:sz w:val="32"/>
    </w:rPr>
  </w:style>
  <w:style w:type="paragraph" w:styleId="Heading2">
    <w:name w:val="heading 2"/>
    <w:basedOn w:val="Normal"/>
    <w:next w:val="Normal"/>
    <w:qFormat/>
    <w:rPr>
      <w:b/>
      <w:color w:val="315B49"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