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Alleata Previdenza &amp; D'Oro 2014</w:t>
      </w:r>
    </w:p>
    <w:p>
      <w:pPr>
        <w:spacing w:after="40"/>
      </w:pPr>
      <w:r>
        <w:rPr>
          <w:b w:val="0"/>
          <w:i w:val="0"/>
          <w:color w:val="5A6270"/>
          <w:sz w:val="25"/>
        </w:rPr>
        <w:t>Mantenere o riscattare? — versione sintetica</w:t>
      </w:r>
    </w:p>
    <w:p>
      <w:pPr>
        <w:spacing w:after="320"/>
      </w:pPr>
      <w:r>
        <w:rPr>
          <w:b w:val="0"/>
          <w:i w:val="0"/>
          <w:color w:val="5A6270"/>
          <w:sz w:val="18"/>
        </w:rPr>
        <w:t>Preparato per Giampaolo Padula (n. 25/05/1974) — versione aggiornata 10 luglio 2026 — orizzonte analizzato: 67 anni / 2041 — tasso conto deposito usato: 2,2% netto</w:t>
      </w:r>
    </w:p>
    <w:p>
      <w:pPr>
        <w:pStyle w:val="Heading2"/>
      </w:pPr>
      <w:r>
        <w:rPr>
          <w:color w:val="9A6B2C"/>
        </w:rPr>
        <w:t xml:space="preserve">Glossario  </w:t>
      </w:r>
      <w:r>
        <w:rPr>
          <w:color w:val="1C2430"/>
        </w:rPr>
        <w:t>Termini tecnici — consulta al bisogno</w:t>
      </w:r>
    </w:p>
    <w:tbl>
      <w:tblPr>
        <w:tblStyle w:val="TableGrid"/>
        <w:tblW w:type="auto" w:w="0"/>
        <w:tblLayout w:type="fixed"/>
        <w:tblLook w:firstColumn="1" w:firstRow="1" w:lastColumn="0" w:lastRow="0" w:noHBand="0" w:noVBand="1" w:val="04A0"/>
      </w:tblPr>
      <w:tblGrid>
        <w:gridCol w:w="2041"/>
        <w:gridCol w:w="7087"/>
      </w:tblGrid>
      <w:tr>
        <w:tc>
          <w:tcPr>
            <w:tcW w:type="dxa" w:w="2041"/>
          </w:tcPr>
          <w:p>
            <w:r>
              <w:rPr>
                <w:b/>
                <w:color w:val="9A6B2C"/>
                <w:sz w:val="19"/>
              </w:rPr>
              <w:t>PIP</w:t>
            </w:r>
          </w:p>
        </w:tc>
        <w:tc>
          <w:tcPr>
            <w:tcW w:type="dxa" w:w="7087"/>
          </w:tcPr>
          <w:p>
            <w:r>
              <w:rPr>
                <w:sz w:val="19"/>
              </w:rPr>
              <w:t>Il nome tecnico del tuo fondo pensione (“Alleata Previdenza” è il nome commerciale).</w:t>
            </w:r>
          </w:p>
        </w:tc>
      </w:tr>
      <w:tr>
        <w:tc>
          <w:tcPr>
            <w:tcW w:type="dxa" w:w="2041"/>
          </w:tcPr>
          <w:p>
            <w:r>
              <w:rPr>
                <w:b/>
                <w:color w:val="9A6B2C"/>
                <w:sz w:val="19"/>
              </w:rPr>
              <w:t>COVIP</w:t>
            </w:r>
          </w:p>
        </w:tc>
        <w:tc>
          <w:tcPr>
            <w:tcW w:type="dxa" w:w="7087"/>
          </w:tcPr>
          <w:p>
            <w:r>
              <w:rPr>
                <w:sz w:val="19"/>
              </w:rPr>
              <w:t>L'ente pubblico che vigila sui fondi pensione italiani.</w:t>
            </w:r>
          </w:p>
        </w:tc>
      </w:tr>
      <w:tr>
        <w:tc>
          <w:tcPr>
            <w:tcW w:type="dxa" w:w="2041"/>
          </w:tcPr>
          <w:p>
            <w:r>
              <w:rPr>
                <w:b/>
                <w:color w:val="9A6B2C"/>
                <w:sz w:val="19"/>
              </w:rPr>
              <w:t>Posizione individuale</w:t>
            </w:r>
          </w:p>
        </w:tc>
        <w:tc>
          <w:tcPr>
            <w:tcW w:type="dxa" w:w="7087"/>
          </w:tcPr>
          <w:p>
            <w:r>
              <w:rPr>
                <w:sz w:val="19"/>
              </w:rPr>
              <w:t>Il valore accumulato oggi nel fondo pensione.</w:t>
            </w:r>
          </w:p>
        </w:tc>
      </w:tr>
      <w:tr>
        <w:tc>
          <w:tcPr>
            <w:tcW w:type="dxa" w:w="2041"/>
          </w:tcPr>
          <w:p>
            <w:r>
              <w:rPr>
                <w:b/>
                <w:color w:val="9A6B2C"/>
                <w:sz w:val="19"/>
              </w:rPr>
              <w:t>Rendita vitalizia</w:t>
            </w:r>
          </w:p>
        </w:tc>
        <w:tc>
          <w:tcPr>
            <w:tcW w:type="dxa" w:w="7087"/>
          </w:tcPr>
          <w:p>
            <w:r>
              <w:rPr>
                <w:sz w:val="19"/>
              </w:rPr>
              <w:t>Pagamento mensile a vita. Si interrompe alla morte: nulla agli eredi, salvo reversibilità.</w:t>
            </w:r>
          </w:p>
        </w:tc>
      </w:tr>
      <w:tr>
        <w:tc>
          <w:tcPr>
            <w:tcW w:type="dxa" w:w="2041"/>
          </w:tcPr>
          <w:p>
            <w:r>
              <w:rPr>
                <w:b/>
                <w:color w:val="9A6B2C"/>
                <w:sz w:val="19"/>
              </w:rPr>
              <w:t>Rendita reversibile</w:t>
            </w:r>
          </w:p>
        </w:tc>
        <w:tc>
          <w:tcPr>
            <w:tcW w:type="dxa" w:w="7087"/>
          </w:tcPr>
          <w:p>
            <w:r>
              <w:rPr>
                <w:sz w:val="19"/>
              </w:rPr>
              <w:t>Come sopra, ma continua (importo ridotto) al coniuge dopo la morte.</w:t>
            </w:r>
          </w:p>
        </w:tc>
      </w:tr>
      <w:tr>
        <w:tc>
          <w:tcPr>
            <w:tcW w:type="dxa" w:w="2041"/>
          </w:tcPr>
          <w:p>
            <w:r>
              <w:rPr>
                <w:b/>
                <w:color w:val="9A6B2C"/>
                <w:sz w:val="19"/>
              </w:rPr>
              <w:t>Riscatto (fondo pensione)</w:t>
            </w:r>
          </w:p>
        </w:tc>
        <w:tc>
          <w:tcPr>
            <w:tcW w:type="dxa" w:w="7087"/>
          </w:tcPr>
          <w:p>
            <w:r>
              <w:rPr>
                <w:sz w:val="19"/>
              </w:rPr>
              <w:t>Uscita anticipata da un fondo pensione — per legge, solo invalidità o disoccupazione oltre 12 mesi.</w:t>
            </w:r>
          </w:p>
        </w:tc>
      </w:tr>
      <w:tr>
        <w:tc>
          <w:tcPr>
            <w:tcW w:type="dxa" w:w="2041"/>
          </w:tcPr>
          <w:p>
            <w:r>
              <w:rPr>
                <w:b/>
                <w:color w:val="9A6B2C"/>
                <w:sz w:val="19"/>
              </w:rPr>
              <w:t>Anticipazione</w:t>
            </w:r>
          </w:p>
        </w:tc>
        <w:tc>
          <w:tcPr>
            <w:tcW w:type="dxa" w:w="7087"/>
          </w:tcPr>
          <w:p>
            <w:r>
              <w:rPr>
                <w:sz w:val="19"/>
              </w:rPr>
              <w:t>Prelievo parziale restando iscritti: fino al 30% “per qualsiasi motivo” dopo 8 anni.</w:t>
            </w:r>
          </w:p>
        </w:tc>
      </w:tr>
      <w:tr>
        <w:tc>
          <w:tcPr>
            <w:tcW w:type="dxa" w:w="2041"/>
          </w:tcPr>
          <w:p>
            <w:r>
              <w:rPr>
                <w:b/>
                <w:color w:val="9A6B2C"/>
                <w:sz w:val="19"/>
              </w:rPr>
              <w:t>Riscatto (D'Oro)</w:t>
            </w:r>
          </w:p>
        </w:tc>
        <w:tc>
          <w:tcPr>
            <w:tcW w:type="dxa" w:w="7087"/>
          </w:tcPr>
          <w:p>
            <w:r>
              <w:rPr>
                <w:sz w:val="19"/>
              </w:rPr>
              <w:t>Per una polizza vita, chiudere in anticipo e incassare — sempre possibile, con eventuale penale.</w:t>
            </w:r>
          </w:p>
        </w:tc>
      </w:tr>
      <w:tr>
        <w:tc>
          <w:tcPr>
            <w:tcW w:type="dxa" w:w="2041"/>
          </w:tcPr>
          <w:p>
            <w:r>
              <w:rPr>
                <w:b/>
                <w:color w:val="9A6B2C"/>
                <w:sz w:val="19"/>
              </w:rPr>
              <w:t>Deduzione fiscale</w:t>
            </w:r>
          </w:p>
        </w:tc>
        <w:tc>
          <w:tcPr>
            <w:tcW w:type="dxa" w:w="7087"/>
          </w:tcPr>
          <w:p>
            <w:r>
              <w:rPr>
                <w:sz w:val="19"/>
              </w:rPr>
              <w:t>Riduce il reddito imponibile. Nel tuo caso, aliquota 43% su €5.000/anno versati ≈ €2.150/anno recuperati.</w:t>
            </w:r>
          </w:p>
        </w:tc>
      </w:tr>
      <w:tr>
        <w:tc>
          <w:tcPr>
            <w:tcW w:type="dxa" w:w="2041"/>
          </w:tcPr>
          <w:p>
            <w:r>
              <w:rPr>
                <w:b/>
                <w:color w:val="9A6B2C"/>
                <w:sz w:val="19"/>
              </w:rPr>
              <w:t>Conto deposito</w:t>
            </w:r>
          </w:p>
        </w:tc>
        <w:tc>
          <w:tcPr>
            <w:tcW w:type="dxa" w:w="7087"/>
          </w:tcPr>
          <w:p>
            <w:r>
              <w:rPr>
                <w:sz w:val="19"/>
              </w:rPr>
              <w:t>Conto bancario che blocca una somma per un periodo in cambio di un interesse.</w:t>
            </w:r>
          </w:p>
        </w:tc>
      </w:tr>
    </w:tbl>
    <w:p>
      <w:pPr>
        <w:spacing w:after="120"/>
      </w:pPr>
    </w:p>
    <w:p>
      <w:r>
        <w:br w:type="page"/>
      </w:r>
    </w:p>
    <w:p>
      <w:pPr>
        <w:pStyle w:val="Heading2"/>
      </w:pPr>
      <w:r>
        <w:rPr>
          <w:color w:val="9A6B2C"/>
        </w:rPr>
        <w:t xml:space="preserve">§1  </w:t>
      </w:r>
      <w:r>
        <w:rPr>
          <w:color w:val="1C2430"/>
        </w:rPr>
        <w:t>I due prodotti — dati chiave</w:t>
      </w:r>
    </w:p>
    <w:p>
      <w:pPr>
        <w:spacing w:after="40"/>
      </w:pPr>
      <w:r>
        <w:rPr>
          <w:b/>
          <w:color w:val="5A6270"/>
          <w:sz w:val="17"/>
        </w:rPr>
        <w:t>ALLEATA PREVIDENZA (PIP) VS D'ORO 2014</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E8E4D6"/>
          </w:tcPr>
          <w:p>
            <w:r>
              <w:rPr>
                <w:b/>
                <w:color w:val="5A6270"/>
                <w:sz w:val="18"/>
              </w:rPr>
              <w:t>Voce</w:t>
            </w:r>
          </w:p>
        </w:tc>
        <w:tc>
          <w:tcPr>
            <w:tcW w:type="dxa" w:w="2880"/>
            <w:shd w:val="clear" w:color="auto" w:fill="E8E4D6"/>
          </w:tcPr>
          <w:p>
            <w:pPr>
              <w:jc w:val="right"/>
            </w:pPr>
            <w:r>
              <w:rPr>
                <w:b/>
                <w:color w:val="5A6270"/>
                <w:sz w:val="18"/>
              </w:rPr>
              <w:t>Alleata Previdenza (PIP)</w:t>
            </w:r>
          </w:p>
        </w:tc>
        <w:tc>
          <w:tcPr>
            <w:tcW w:type="dxa" w:w="2880"/>
            <w:shd w:val="clear" w:color="auto" w:fill="E8E4D6"/>
          </w:tcPr>
          <w:p>
            <w:pPr>
              <w:jc w:val="right"/>
            </w:pPr>
            <w:r>
              <w:rPr>
                <w:b/>
                <w:color w:val="5A6270"/>
                <w:sz w:val="18"/>
              </w:rPr>
              <w:t>D'Oro 2014</w:t>
            </w:r>
          </w:p>
        </w:tc>
      </w:tr>
      <w:tr>
        <w:tc>
          <w:tcPr>
            <w:tcW w:type="dxa" w:w="2880"/>
          </w:tcPr>
          <w:p>
            <w:r>
              <w:rPr>
                <w:sz w:val="19"/>
              </w:rPr>
              <w:t>Versamento annuo</w:t>
            </w:r>
          </w:p>
        </w:tc>
        <w:tc>
          <w:tcPr>
            <w:tcW w:type="dxa" w:w="2880"/>
          </w:tcPr>
          <w:p>
            <w:pPr>
              <w:jc w:val="right"/>
            </w:pPr>
            <w:r>
              <w:rPr>
                <w:sz w:val="19"/>
              </w:rPr>
              <w:t>€5.000</w:t>
            </w:r>
          </w:p>
        </w:tc>
        <w:tc>
          <w:tcPr>
            <w:tcW w:type="dxa" w:w="2880"/>
          </w:tcPr>
          <w:p>
            <w:pPr>
              <w:jc w:val="right"/>
            </w:pPr>
            <w:r>
              <w:rPr>
                <w:sz w:val="19"/>
              </w:rPr>
              <w:t>€2.500</w:t>
            </w:r>
          </w:p>
        </w:tc>
      </w:tr>
      <w:tr>
        <w:tc>
          <w:tcPr>
            <w:tcW w:type="dxa" w:w="2880"/>
            <w:shd w:val="clear" w:color="auto" w:fill="F5F3EC"/>
          </w:tcPr>
          <w:p>
            <w:r>
              <w:rPr>
                <w:sz w:val="19"/>
              </w:rPr>
              <w:t>Valore posizione (2025)</w:t>
            </w:r>
          </w:p>
        </w:tc>
        <w:tc>
          <w:tcPr>
            <w:tcW w:type="dxa" w:w="2880"/>
            <w:shd w:val="clear" w:color="auto" w:fill="F5F3EC"/>
          </w:tcPr>
          <w:p>
            <w:pPr>
              <w:jc w:val="right"/>
            </w:pPr>
            <w:r>
              <w:rPr>
                <w:sz w:val="19"/>
              </w:rPr>
              <w:t>€68.204</w:t>
            </w:r>
          </w:p>
        </w:tc>
        <w:tc>
          <w:tcPr>
            <w:tcW w:type="dxa" w:w="2880"/>
            <w:shd w:val="clear" w:color="auto" w:fill="F5F3EC"/>
          </w:tcPr>
          <w:p>
            <w:pPr>
              <w:jc w:val="right"/>
            </w:pPr>
            <w:r>
              <w:rPr>
                <w:sz w:val="19"/>
              </w:rPr>
              <w:t>riscatto €21.142</w:t>
            </w:r>
          </w:p>
        </w:tc>
      </w:tr>
      <w:tr>
        <w:tc>
          <w:tcPr>
            <w:tcW w:type="dxa" w:w="2880"/>
          </w:tcPr>
          <w:p>
            <w:r>
              <w:rPr>
                <w:sz w:val="19"/>
              </w:rPr>
              <w:t>Deduzione fiscale</w:t>
            </w:r>
          </w:p>
        </w:tc>
        <w:tc>
          <w:tcPr>
            <w:tcW w:type="dxa" w:w="2880"/>
          </w:tcPr>
          <w:p>
            <w:pPr>
              <w:jc w:val="right"/>
            </w:pPr>
            <w:r>
              <w:rPr>
                <w:sz w:val="19"/>
              </w:rPr>
              <w:t>Sì, 43% ≈ €2.150/anno</w:t>
            </w:r>
          </w:p>
        </w:tc>
        <w:tc>
          <w:tcPr>
            <w:tcW w:type="dxa" w:w="2880"/>
          </w:tcPr>
          <w:p>
            <w:pPr>
              <w:jc w:val="right"/>
            </w:pPr>
            <w:r>
              <w:rPr>
                <w:sz w:val="19"/>
              </w:rPr>
              <w:t>No</w:t>
            </w:r>
          </w:p>
        </w:tc>
      </w:tr>
      <w:tr>
        <w:tc>
          <w:tcPr>
            <w:tcW w:type="dxa" w:w="2880"/>
            <w:shd w:val="clear" w:color="auto" w:fill="F5F3EC"/>
          </w:tcPr>
          <w:p>
            <w:r>
              <w:rPr>
                <w:sz w:val="19"/>
              </w:rPr>
              <w:t>Uscita anticipata (prima dei 67)</w:t>
            </w:r>
          </w:p>
        </w:tc>
        <w:tc>
          <w:tcPr>
            <w:tcW w:type="dxa" w:w="2880"/>
            <w:shd w:val="clear" w:color="auto" w:fill="F5F3EC"/>
          </w:tcPr>
          <w:p>
            <w:pPr>
              <w:jc w:val="right"/>
            </w:pPr>
            <w:r>
              <w:rPr>
                <w:sz w:val="19"/>
              </w:rPr>
              <w:t>No, salvo casi di legge</w:t>
            </w:r>
          </w:p>
        </w:tc>
        <w:tc>
          <w:tcPr>
            <w:tcW w:type="dxa" w:w="2880"/>
            <w:shd w:val="clear" w:color="auto" w:fill="F5F3EC"/>
          </w:tcPr>
          <w:p>
            <w:pPr>
              <w:jc w:val="right"/>
            </w:pPr>
            <w:r>
              <w:rPr>
                <w:sz w:val="19"/>
              </w:rPr>
              <w:t>Sì, sempre possibile</w:t>
            </w:r>
          </w:p>
        </w:tc>
      </w:tr>
      <w:tr>
        <w:tc>
          <w:tcPr>
            <w:tcW w:type="dxa" w:w="2880"/>
          </w:tcPr>
          <w:p>
            <w:r>
              <w:rPr>
                <w:sz w:val="19"/>
              </w:rPr>
              <w:t>A scadenza (67 / 2040)</w:t>
            </w:r>
          </w:p>
        </w:tc>
        <w:tc>
          <w:tcPr>
            <w:tcW w:type="dxa" w:w="2880"/>
          </w:tcPr>
          <w:p>
            <w:pPr>
              <w:jc w:val="right"/>
            </w:pPr>
            <w:r>
              <w:rPr>
                <w:sz w:val="19"/>
              </w:rPr>
              <w:t>Rendita obbligatoria per ≥50%</w:t>
            </w:r>
          </w:p>
        </w:tc>
        <w:tc>
          <w:tcPr>
            <w:tcW w:type="dxa" w:w="2880"/>
          </w:tcPr>
          <w:p>
            <w:pPr>
              <w:jc w:val="right"/>
            </w:pPr>
            <w:r>
              <w:rPr>
                <w:sz w:val="19"/>
              </w:rPr>
              <w:t>Capitale libero al 100%</w:t>
            </w:r>
          </w:p>
        </w:tc>
      </w:tr>
    </w:tbl>
    <w:p>
      <w:pPr>
        <w:spacing w:after="80"/>
      </w:pPr>
    </w:p>
    <w:p>
      <w:pPr>
        <w:spacing w:after="120"/>
      </w:pPr>
      <w:r>
        <w:rPr>
          <w:b/>
          <w:i w:val="0"/>
        </w:rPr>
        <w:t>La regola chiave del PIP</w:t>
      </w:r>
      <w:r>
        <w:rPr>
          <w:b w:val="0"/>
          <w:i w:val="0"/>
        </w:rPr>
        <w:t xml:space="preserve">: a 67 anni puoi prendere il 100% in capitale solo se la posizione resta sotto ~€100.000 (soglia stimata da Alleanza, che secondo Casetti può muoversi nel tempo). Continuando a versare €5.000/anno, la superi già nel 2031 — ma il diritto di chiedere qualsiasi liquidazione scatta </w:t>
      </w:r>
      <w:r>
        <w:rPr>
          <w:b/>
          <w:i w:val="0"/>
        </w:rPr>
        <w:t>solo a 67 anni</w:t>
      </w:r>
      <w:r>
        <w:rPr>
          <w:b w:val="0"/>
          <w:i w:val="0"/>
        </w:rPr>
        <w:t xml:space="preserve"> (confermato per iscritto da Casetti il 15/07/2026), non quando la posizione tocca €100.000 lungo il percorso. Non conta *quando* superi la soglia, conta solo il valore </w:t>
      </w:r>
      <w:r>
        <w:rPr>
          <w:b/>
          <w:i w:val="0"/>
        </w:rPr>
        <w:t>a 67 anni</w:t>
      </w:r>
      <w:r>
        <w:rPr>
          <w:b w:val="0"/>
          <w:i w:val="0"/>
        </w:rPr>
        <w:t xml:space="preserve">. Casetti ha anche segnalato una possibile novità normativa: il tetto di capitale liquidabile potrebbe essere salito dal 50% al </w:t>
      </w:r>
      <w:r>
        <w:rPr>
          <w:b/>
          <w:i w:val="0"/>
        </w:rPr>
        <w:t>60%</w:t>
      </w:r>
      <w:r>
        <w:rPr>
          <w:b w:val="0"/>
          <w:i w:val="0"/>
        </w:rPr>
        <w:t xml:space="preserve"> (40% obbligatorio in rendita) — da verificare quale si applica al tuo caso.</w:t>
      </w:r>
    </w:p>
    <w:p>
      <w:pPr>
        <w:spacing w:after="40"/>
      </w:pPr>
      <w:r>
        <w:rPr>
          <w:b/>
          <w:color w:val="5A6270"/>
          <w:sz w:val="17"/>
        </w:rPr>
        <w:t>SCENARI DI STOP DEI VERSAMENTI — PROIEZIONE A 67 ANNI (SOLO RIVALUTAZIONE, 1,4%/ANNO NETTO)</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E8E4D6"/>
          </w:tcPr>
          <w:p>
            <w:r>
              <w:rPr>
                <w:b/>
                <w:color w:val="5A6270"/>
                <w:sz w:val="18"/>
              </w:rPr>
              <w:t>Fermarsi a fine</w:t>
            </w:r>
          </w:p>
        </w:tc>
        <w:tc>
          <w:tcPr>
            <w:tcW w:type="dxa" w:w="2160"/>
            <w:shd w:val="clear" w:color="auto" w:fill="E8E4D6"/>
          </w:tcPr>
          <w:p>
            <w:pPr>
              <w:jc w:val="right"/>
            </w:pPr>
            <w:r>
              <w:rPr>
                <w:b/>
                <w:color w:val="5A6270"/>
                <w:sz w:val="18"/>
              </w:rPr>
              <w:t>Posizione al momento dello stop</w:t>
            </w:r>
          </w:p>
        </w:tc>
        <w:tc>
          <w:tcPr>
            <w:tcW w:type="dxa" w:w="2160"/>
            <w:shd w:val="clear" w:color="auto" w:fill="E8E4D6"/>
          </w:tcPr>
          <w:p>
            <w:pPr>
              <w:jc w:val="right"/>
            </w:pPr>
            <w:r>
              <w:rPr>
                <w:b/>
                <w:color w:val="5A6270"/>
                <w:sz w:val="18"/>
              </w:rPr>
              <w:t>Proiezione a 67 anni</w:t>
            </w:r>
          </w:p>
        </w:tc>
        <w:tc>
          <w:tcPr>
            <w:tcW w:type="dxa" w:w="2160"/>
            <w:shd w:val="clear" w:color="auto" w:fill="E8E4D6"/>
          </w:tcPr>
          <w:p>
            <w:pPr>
              <w:jc w:val="right"/>
            </w:pPr>
            <w:r>
              <w:rPr>
                <w:b/>
                <w:color w:val="5A6270"/>
                <w:sz w:val="18"/>
              </w:rPr>
              <w:t>Esito</w:t>
            </w:r>
          </w:p>
        </w:tc>
      </w:tr>
      <w:tr>
        <w:tc>
          <w:tcPr>
            <w:tcW w:type="dxa" w:w="2160"/>
          </w:tcPr>
          <w:p>
            <w:r>
              <w:rPr>
                <w:sz w:val="19"/>
              </w:rPr>
              <w:t>2026 (subito)</w:t>
            </w:r>
          </w:p>
        </w:tc>
        <w:tc>
          <w:tcPr>
            <w:tcW w:type="dxa" w:w="2160"/>
          </w:tcPr>
          <w:p>
            <w:pPr>
              <w:jc w:val="right"/>
            </w:pPr>
            <w:r>
              <w:rPr>
                <w:sz w:val="19"/>
              </w:rPr>
              <w:t>€73.930</w:t>
            </w:r>
          </w:p>
        </w:tc>
        <w:tc>
          <w:tcPr>
            <w:tcW w:type="dxa" w:w="2160"/>
          </w:tcPr>
          <w:p>
            <w:pPr>
              <w:jc w:val="right"/>
            </w:pPr>
            <w:r>
              <w:rPr>
                <w:sz w:val="19"/>
              </w:rPr>
              <w:t>≈ €91.100</w:t>
            </w:r>
          </w:p>
        </w:tc>
        <w:tc>
          <w:tcPr>
            <w:tcW w:type="dxa" w:w="2160"/>
          </w:tcPr>
          <w:p>
            <w:pPr>
              <w:jc w:val="right"/>
            </w:pPr>
            <w:r>
              <w:rPr>
                <w:b/>
                <w:color w:val="2F6E52"/>
                <w:sz w:val="19"/>
              </w:rPr>
              <w:t>Sotto soglia — margine ≈ €8.900</w:t>
            </w:r>
          </w:p>
        </w:tc>
      </w:tr>
      <w:tr>
        <w:tc>
          <w:tcPr>
            <w:tcW w:type="dxa" w:w="2160"/>
            <w:shd w:val="clear" w:color="auto" w:fill="F5F3EC"/>
          </w:tcPr>
          <w:p>
            <w:r>
              <w:rPr>
                <w:sz w:val="19"/>
              </w:rPr>
              <w:t>2027</w:t>
            </w:r>
          </w:p>
        </w:tc>
        <w:tc>
          <w:tcPr>
            <w:tcW w:type="dxa" w:w="2160"/>
            <w:shd w:val="clear" w:color="auto" w:fill="F5F3EC"/>
          </w:tcPr>
          <w:p>
            <w:pPr>
              <w:jc w:val="right"/>
            </w:pPr>
            <w:r>
              <w:rPr>
                <w:sz w:val="19"/>
              </w:rPr>
              <w:t>€79.736</w:t>
            </w:r>
          </w:p>
        </w:tc>
        <w:tc>
          <w:tcPr>
            <w:tcW w:type="dxa" w:w="2160"/>
            <w:shd w:val="clear" w:color="auto" w:fill="F5F3EC"/>
          </w:tcPr>
          <w:p>
            <w:pPr>
              <w:jc w:val="right"/>
            </w:pPr>
            <w:r>
              <w:rPr>
                <w:sz w:val="19"/>
              </w:rPr>
              <w:t>≈ €96.900</w:t>
            </w:r>
          </w:p>
        </w:tc>
        <w:tc>
          <w:tcPr>
            <w:tcW w:type="dxa" w:w="2160"/>
            <w:shd w:val="clear" w:color="auto" w:fill="F5F3EC"/>
          </w:tcPr>
          <w:p>
            <w:pPr>
              <w:jc w:val="right"/>
            </w:pPr>
            <w:r>
              <w:rPr>
                <w:sz w:val="19"/>
              </w:rPr>
              <w:t>Sotto soglia — margine ≈ €3.100 (stretto)</w:t>
            </w:r>
          </w:p>
        </w:tc>
      </w:tr>
      <w:tr>
        <w:tc>
          <w:tcPr>
            <w:tcW w:type="dxa" w:w="2160"/>
          </w:tcPr>
          <w:p>
            <w:r>
              <w:rPr>
                <w:sz w:val="19"/>
              </w:rPr>
              <w:t>2028</w:t>
            </w:r>
          </w:p>
        </w:tc>
        <w:tc>
          <w:tcPr>
            <w:tcW w:type="dxa" w:w="2160"/>
          </w:tcPr>
          <w:p>
            <w:pPr>
              <w:jc w:val="right"/>
            </w:pPr>
            <w:r>
              <w:rPr>
                <w:sz w:val="19"/>
              </w:rPr>
              <w:t>€85.623</w:t>
            </w:r>
          </w:p>
        </w:tc>
        <w:tc>
          <w:tcPr>
            <w:tcW w:type="dxa" w:w="2160"/>
          </w:tcPr>
          <w:p>
            <w:pPr>
              <w:jc w:val="right"/>
            </w:pPr>
            <w:r>
              <w:rPr>
                <w:sz w:val="19"/>
              </w:rPr>
              <w:t>≈ €102.600</w:t>
            </w:r>
          </w:p>
        </w:tc>
        <w:tc>
          <w:tcPr>
            <w:tcW w:type="dxa" w:w="2160"/>
          </w:tcPr>
          <w:p>
            <w:pPr>
              <w:jc w:val="right"/>
            </w:pPr>
            <w:r>
              <w:rPr>
                <w:b/>
                <w:color w:val="8A3B32"/>
                <w:sz w:val="19"/>
              </w:rPr>
              <w:t>Sopra soglia — punto di non ritorno superato</w:t>
            </w:r>
          </w:p>
        </w:tc>
      </w:tr>
    </w:tbl>
    <w:p>
      <w:pPr>
        <w:spacing w:after="80"/>
      </w:pPr>
    </w:p>
    <w:p>
      <w:pPr>
        <w:spacing w:after="120"/>
      </w:pPr>
      <w:r>
        <w:rPr>
          <w:b w:val="0"/>
          <w:i w:val="0"/>
        </w:rPr>
        <w:t xml:space="preserve">Il punto di non ritorno è tra fine 2027 e fine 2028: oltre quella data, anche fermandosi, la sola rivalutazione porterebbe comunque la posizione sopra €100.000 a 67 anni. Fermarsi </w:t>
      </w:r>
      <w:r>
        <w:rPr>
          <w:b/>
          <w:i w:val="0"/>
        </w:rPr>
        <w:t>subito (2026)</w:t>
      </w:r>
      <w:r>
        <w:rPr>
          <w:b w:val="0"/>
          <w:i w:val="0"/>
        </w:rPr>
        <w:t xml:space="preserve"> dà il margine di sicurezza più ampio contro imprevisti (rendimento più alto del previsto, o soglia che si abbassa nel tempo).</w:t>
      </w:r>
    </w:p>
    <w:p>
      <w:pPr>
        <w:pStyle w:val="Heading2"/>
      </w:pPr>
      <w:r>
        <w:rPr>
          <w:color w:val="9A6B2C"/>
        </w:rPr>
        <w:t xml:space="preserve">§2  </w:t>
      </w:r>
      <w:r>
        <w:rPr>
          <w:color w:val="1C2430"/>
        </w:rPr>
        <w:t>Le due opzioni a confronto</w:t>
      </w:r>
    </w:p>
    <w:p>
      <w:pPr>
        <w:spacing w:after="200"/>
      </w:pPr>
      <w:r>
        <w:rPr>
          <w:b w:val="0"/>
          <w:i/>
          <w:color w:val="5A6270"/>
          <w:sz w:val="20"/>
        </w:rPr>
        <w:t xml:space="preserve">Rendita vitalizia completa, contro il Percorso legale per avere capitale libero. L'ipotesi “Uscita 2030” è stata </w:t>
      </w:r>
      <w:r>
        <w:rPr>
          <w:b/>
          <w:i/>
          <w:color w:val="5A6270"/>
          <w:sz w:val="20"/>
        </w:rPr>
        <w:t>esclusa</w:t>
      </w:r>
      <w:r>
        <w:rPr>
          <w:b w:val="0"/>
          <w:i/>
          <w:color w:val="5A6270"/>
          <w:sz w:val="20"/>
        </w:rPr>
        <w:t>: Casetti ha confermato per iscritto che il diritto a richiedere capitale o rendita matura solo a 67 anni, quindi un prelievo pieno anticipato non è possibile. In entrambi gli scenari restanti D'Oro resta acceso fino alla sua scadenza naturale (2040, €62.000 garantiti) — non conviene mai riscattarlo prima, perché quel valore include anche i premi ancora da versare, non solo la crescita.</w:t>
      </w:r>
    </w:p>
    <w:p>
      <w:pPr>
        <w:pStyle w:val="Heading3"/>
      </w:pPr>
      <w:r>
        <w:t>Come funziona ciascuna opzione</w:t>
      </w:r>
    </w:p>
    <w:p>
      <w:pPr>
        <w:spacing w:after="120"/>
      </w:pPr>
      <w:r>
        <w:rPr>
          <w:b/>
          <w:i w:val="0"/>
        </w:rPr>
        <w:t>Rendita vitalizia</w:t>
      </w:r>
      <w:r>
        <w:rPr>
          <w:b w:val="0"/>
          <w:i w:val="0"/>
        </w:rPr>
        <w:t xml:space="preserve"> — continui a versare €5.000/anno nel PIP fino a 67 anni (posizione €152.857), converti tutto in rendita insieme a D'Oro: €648/mese garantiti a vita, nessun capitale libero.</w:t>
      </w:r>
    </w:p>
    <w:p>
      <w:pPr>
        <w:spacing w:after="120"/>
      </w:pPr>
      <w:r>
        <w:rPr>
          <w:b/>
          <w:i w:val="0"/>
        </w:rPr>
        <w:t>Percorso legale</w:t>
      </w:r>
      <w:r>
        <w:rPr>
          <w:b w:val="0"/>
          <w:i w:val="0"/>
        </w:rPr>
        <w:t xml:space="preserve"> — fermi i versamenti PIP nel 2027 (resti sotto la soglia dei €100.000, §1); il PIP resta bloccato al suo interno fino a 67 anni, quando lo ritiri per intero in capitale. Nel frattempo continui a pagare D'Oro (€2.500/anno) fino al 2040, e risparmi altri €2.500/anno per conto tuo in un conto deposito. Non richiede alcuna conferma da Alleanza: è sempre legale.</w:t>
      </w:r>
    </w:p>
    <w:p>
      <w:pPr>
        <w:spacing w:after="120"/>
      </w:pPr>
      <w:r>
        <w:rPr>
          <w:b/>
          <w:i w:val="0"/>
        </w:rPr>
        <w:t>Uscita 2030 (ESCLUSA)</w:t>
      </w:r>
      <w:r>
        <w:rPr>
          <w:b w:val="0"/>
          <w:i w:val="0"/>
        </w:rPr>
        <w:t xml:space="preserve"> — prevedeva di continuare a versare nel PIP fino al 2030 (posizione €97.646) e poi ritirarne l'intero importo. Casetti ha confermato che il diritto a liquidazione matura solo a 67 anni: questa opzione </w:t>
      </w:r>
      <w:r>
        <w:rPr>
          <w:b/>
          <w:i w:val="0"/>
        </w:rPr>
        <w:t>non è percorribile</w:t>
      </w:r>
      <w:r>
        <w:rPr>
          <w:b w:val="0"/>
          <w:i w:val="0"/>
        </w:rPr>
        <w:t xml:space="preserve"> e resta qui solo come riferimento storico.</w:t>
      </w:r>
    </w:p>
    <w:p>
      <w:pPr>
        <w:spacing w:after="40"/>
      </w:pPr>
      <w:r>
        <w:rPr>
          <w:b/>
          <w:color w:val="5A6270"/>
          <w:sz w:val="17"/>
        </w:rPr>
        <w:t>CONFRONTO SINTETICO</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E8E4D6"/>
          </w:tcPr>
          <w:p>
            <w:r>
              <w:rPr>
                <w:b/>
                <w:color w:val="5A6270"/>
                <w:sz w:val="18"/>
              </w:rPr>
              <w:t>Criterio</w:t>
            </w:r>
          </w:p>
        </w:tc>
        <w:tc>
          <w:tcPr>
            <w:tcW w:type="dxa" w:w="2880"/>
            <w:shd w:val="clear" w:color="auto" w:fill="E8E4D6"/>
          </w:tcPr>
          <w:p>
            <w:pPr>
              <w:jc w:val="right"/>
            </w:pPr>
            <w:r>
              <w:rPr>
                <w:b/>
                <w:color w:val="5A6270"/>
                <w:sz w:val="18"/>
              </w:rPr>
              <w:t>Rendita vitalizia</w:t>
              <w:br/>
              <w:t>(continui fino a 67)</w:t>
            </w:r>
          </w:p>
        </w:tc>
        <w:tc>
          <w:tcPr>
            <w:tcW w:type="dxa" w:w="2880"/>
            <w:shd w:val="clear" w:color="auto" w:fill="E8E4D6"/>
          </w:tcPr>
          <w:p>
            <w:pPr>
              <w:jc w:val="right"/>
            </w:pPr>
            <w:r>
              <w:rPr>
                <w:b/>
                <w:color w:val="5A6270"/>
                <w:sz w:val="18"/>
              </w:rPr>
              <w:t>Percorso legale</w:t>
              <w:br/>
              <w:t>(fermi PIP 2026-2027)</w:t>
            </w:r>
          </w:p>
        </w:tc>
      </w:tr>
      <w:tr>
        <w:tc>
          <w:tcPr>
            <w:tcW w:type="dxa" w:w="2880"/>
          </w:tcPr>
          <w:p>
            <w:r>
              <w:rPr>
                <w:sz w:val="19"/>
              </w:rPr>
              <w:t>Capitale / reddito a 67 anni</w:t>
            </w:r>
          </w:p>
        </w:tc>
        <w:tc>
          <w:tcPr>
            <w:tcW w:type="dxa" w:w="2880"/>
          </w:tcPr>
          <w:p>
            <w:pPr>
              <w:jc w:val="right"/>
            </w:pPr>
            <w:r>
              <w:rPr>
                <w:sz w:val="19"/>
              </w:rPr>
              <w:t>€648/mese a vita</w:t>
            </w:r>
          </w:p>
        </w:tc>
        <w:tc>
          <w:tcPr>
            <w:tcW w:type="dxa" w:w="2880"/>
          </w:tcPr>
          <w:p>
            <w:pPr>
              <w:jc w:val="right"/>
            </w:pPr>
            <w:r>
              <w:rPr>
                <w:sz w:val="19"/>
              </w:rPr>
              <w:t>€199.400 capitale (o ~€191.100 se ti fermi nel 2026, v. §1)</w:t>
            </w:r>
          </w:p>
        </w:tc>
      </w:tr>
      <w:tr>
        <w:tc>
          <w:tcPr>
            <w:tcW w:type="dxa" w:w="2880"/>
            <w:shd w:val="clear" w:color="auto" w:fill="F5F3EC"/>
          </w:tcPr>
          <w:p>
            <w:r>
              <w:rPr>
                <w:sz w:val="19"/>
              </w:rPr>
              <w:t>A €800/mese dura fino a</w:t>
            </w:r>
          </w:p>
        </w:tc>
        <w:tc>
          <w:tcPr>
            <w:tcW w:type="dxa" w:w="2880"/>
            <w:shd w:val="clear" w:color="auto" w:fill="F5F3EC"/>
          </w:tcPr>
          <w:p>
            <w:pPr>
              <w:jc w:val="right"/>
            </w:pPr>
            <w:r>
              <w:rPr>
                <w:sz w:val="19"/>
              </w:rPr>
              <w:t>n/a — fissa a €648/mese, non regolabile</w:t>
            </w:r>
          </w:p>
        </w:tc>
        <w:tc>
          <w:tcPr>
            <w:tcW w:type="dxa" w:w="2880"/>
            <w:shd w:val="clear" w:color="auto" w:fill="F5F3EC"/>
          </w:tcPr>
          <w:p>
            <w:pPr>
              <w:jc w:val="right"/>
            </w:pPr>
            <w:r>
              <w:rPr>
                <w:sz w:val="19"/>
              </w:rPr>
              <w:t>~95 anni</w:t>
            </w:r>
          </w:p>
        </w:tc>
      </w:tr>
      <w:tr>
        <w:tc>
          <w:tcPr>
            <w:tcW w:type="dxa" w:w="2880"/>
          </w:tcPr>
          <w:p>
            <w:r>
              <w:rPr>
                <w:sz w:val="19"/>
              </w:rPr>
              <w:t>Allo stesso importo, €648/mese, dura fino a</w:t>
            </w:r>
          </w:p>
        </w:tc>
        <w:tc>
          <w:tcPr>
            <w:tcW w:type="dxa" w:w="2880"/>
          </w:tcPr>
          <w:p>
            <w:pPr>
              <w:jc w:val="right"/>
            </w:pPr>
            <w:r>
              <w:rPr>
                <w:sz w:val="19"/>
              </w:rPr>
              <w:t>sempre</w:t>
            </w:r>
          </w:p>
        </w:tc>
        <w:tc>
          <w:tcPr>
            <w:tcW w:type="dxa" w:w="2880"/>
          </w:tcPr>
          <w:p>
            <w:pPr>
              <w:jc w:val="right"/>
            </w:pPr>
            <w:r>
              <w:rPr>
                <w:sz w:val="19"/>
              </w:rPr>
              <w:t>~105 anni</w:t>
            </w:r>
          </w:p>
        </w:tc>
      </w:tr>
      <w:tr>
        <w:tc>
          <w:tcPr>
            <w:tcW w:type="dxa" w:w="2880"/>
            <w:shd w:val="clear" w:color="auto" w:fill="F5F3EC"/>
          </w:tcPr>
          <w:p>
            <w:r>
              <w:rPr>
                <w:sz w:val="19"/>
              </w:rPr>
              <w:t>Deduzione fiscale fino a</w:t>
            </w:r>
          </w:p>
        </w:tc>
        <w:tc>
          <w:tcPr>
            <w:tcW w:type="dxa" w:w="2880"/>
            <w:shd w:val="clear" w:color="auto" w:fill="F5F3EC"/>
          </w:tcPr>
          <w:p>
            <w:pPr>
              <w:jc w:val="right"/>
            </w:pPr>
            <w:r>
              <w:rPr>
                <w:sz w:val="19"/>
              </w:rPr>
              <w:t>67 anni</w:t>
            </w:r>
          </w:p>
        </w:tc>
        <w:tc>
          <w:tcPr>
            <w:tcW w:type="dxa" w:w="2880"/>
            <w:shd w:val="clear" w:color="auto" w:fill="F5F3EC"/>
          </w:tcPr>
          <w:p>
            <w:pPr>
              <w:jc w:val="right"/>
            </w:pPr>
            <w:r>
              <w:rPr>
                <w:sz w:val="19"/>
              </w:rPr>
              <w:t>2026 o 2027 (a seconda di quando ti fermi)</w:t>
            </w:r>
          </w:p>
        </w:tc>
      </w:tr>
      <w:tr>
        <w:tc>
          <w:tcPr>
            <w:tcW w:type="dxa" w:w="2880"/>
          </w:tcPr>
          <w:p>
            <w:r>
              <w:rPr>
                <w:sz w:val="19"/>
              </w:rPr>
              <w:t>Trasferibile agli eredi</w:t>
            </w:r>
          </w:p>
        </w:tc>
        <w:tc>
          <w:tcPr>
            <w:tcW w:type="dxa" w:w="2880"/>
          </w:tcPr>
          <w:p>
            <w:pPr>
              <w:jc w:val="right"/>
            </w:pPr>
            <w:r>
              <w:rPr>
                <w:sz w:val="19"/>
              </w:rPr>
              <w:t>No (salvo reversibilità)</w:t>
            </w:r>
          </w:p>
        </w:tc>
        <w:tc>
          <w:tcPr>
            <w:tcW w:type="dxa" w:w="2880"/>
          </w:tcPr>
          <w:p>
            <w:pPr>
              <w:jc w:val="right"/>
            </w:pPr>
            <w:r>
              <w:rPr>
                <w:sz w:val="19"/>
              </w:rPr>
              <w:t>Sì, per intero</w:t>
            </w:r>
          </w:p>
        </w:tc>
      </w:tr>
      <w:tr>
        <w:tc>
          <w:tcPr>
            <w:tcW w:type="dxa" w:w="2880"/>
            <w:shd w:val="clear" w:color="auto" w:fill="F5F3EC"/>
          </w:tcPr>
          <w:p>
            <w:r>
              <w:rPr>
                <w:sz w:val="19"/>
              </w:rPr>
              <w:t>Richiede conferma Alleanza</w:t>
            </w:r>
          </w:p>
        </w:tc>
        <w:tc>
          <w:tcPr>
            <w:tcW w:type="dxa" w:w="2880"/>
            <w:shd w:val="clear" w:color="auto" w:fill="F5F3EC"/>
          </w:tcPr>
          <w:p>
            <w:pPr>
              <w:jc w:val="right"/>
            </w:pPr>
            <w:r>
              <w:rPr>
                <w:sz w:val="19"/>
              </w:rPr>
              <w:t>No</w:t>
            </w:r>
          </w:p>
        </w:tc>
        <w:tc>
          <w:tcPr>
            <w:tcW w:type="dxa" w:w="2880"/>
            <w:shd w:val="clear" w:color="auto" w:fill="F5F3EC"/>
          </w:tcPr>
          <w:p>
            <w:pPr>
              <w:jc w:val="right"/>
            </w:pPr>
            <w:r>
              <w:rPr>
                <w:sz w:val="19"/>
              </w:rPr>
              <w:t>No</w:t>
            </w:r>
          </w:p>
        </w:tc>
      </w:tr>
      <w:tr>
        <w:tc>
          <w:tcPr>
            <w:tcW w:type="dxa" w:w="2880"/>
          </w:tcPr>
          <w:p>
            <w:r>
              <w:rPr>
                <w:sz w:val="19"/>
              </w:rPr>
              <w:t>Costo annuo per te</w:t>
            </w:r>
          </w:p>
        </w:tc>
        <w:tc>
          <w:tcPr>
            <w:tcW w:type="dxa" w:w="2880"/>
          </w:tcPr>
          <w:p>
            <w:pPr>
              <w:jc w:val="right"/>
            </w:pPr>
            <w:r>
              <w:rPr>
                <w:sz w:val="19"/>
              </w:rPr>
              <w:t>€5.000/anno fino a 67</w:t>
            </w:r>
          </w:p>
        </w:tc>
        <w:tc>
          <w:tcPr>
            <w:tcW w:type="dxa" w:w="2880"/>
          </w:tcPr>
          <w:p>
            <w:pPr>
              <w:jc w:val="right"/>
            </w:pPr>
            <w:r>
              <w:rPr>
                <w:sz w:val="19"/>
              </w:rPr>
              <w:t>€7.500 fino allo stop (di cui ~€2.150/anno restituiti da deduzione), poi €5.000 fino al 2040</w:t>
            </w:r>
          </w:p>
        </w:tc>
      </w:tr>
    </w:tbl>
    <w:p>
      <w:pPr>
        <w:spacing w:after="80"/>
      </w:pPr>
    </w:p>
    <w:p>
      <w:pPr>
        <w:pStyle w:val="Heading3"/>
      </w:pPr>
      <w:r>
        <w:t>Esploso: da cosa sono composti i due totali</w:t>
      </w:r>
    </w:p>
    <w:p>
      <w:pPr>
        <w:spacing w:after="40"/>
      </w:pPr>
      <w:r>
        <w:rPr>
          <w:b/>
          <w:color w:val="5A6270"/>
          <w:sz w:val="17"/>
        </w:rPr>
        <w:t>PERCORSO LEGALE — €199.400</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E8E4D6"/>
          </w:tcPr>
          <w:p>
            <w:r>
              <w:rPr>
                <w:b/>
                <w:color w:val="5A6270"/>
                <w:sz w:val="18"/>
              </w:rPr>
              <w:t>Componente</w:t>
            </w:r>
          </w:p>
        </w:tc>
        <w:tc>
          <w:tcPr>
            <w:tcW w:type="dxa" w:w="2880"/>
            <w:shd w:val="clear" w:color="auto" w:fill="E8E4D6"/>
          </w:tcPr>
          <w:p>
            <w:pPr>
              <w:jc w:val="right"/>
            </w:pPr>
            <w:r>
              <w:rPr>
                <w:b/>
                <w:color w:val="5A6270"/>
                <w:sz w:val="18"/>
              </w:rPr>
              <w:t>Valore a 67 anni</w:t>
            </w:r>
          </w:p>
        </w:tc>
        <w:tc>
          <w:tcPr>
            <w:tcW w:type="dxa" w:w="2880"/>
            <w:shd w:val="clear" w:color="auto" w:fill="E8E4D6"/>
          </w:tcPr>
          <w:p>
            <w:pPr>
              <w:jc w:val="right"/>
            </w:pPr>
            <w:r>
              <w:rPr>
                <w:b/>
                <w:color w:val="5A6270"/>
                <w:sz w:val="18"/>
              </w:rPr>
              <w:t>% del totale</w:t>
            </w:r>
          </w:p>
        </w:tc>
      </w:tr>
      <w:tr>
        <w:tc>
          <w:tcPr>
            <w:tcW w:type="dxa" w:w="2880"/>
          </w:tcPr>
          <w:p>
            <w:r>
              <w:rPr>
                <w:sz w:val="19"/>
              </w:rPr>
              <w:t>PIP fermo dal 2027 (bloccato al suo rendimento fino a 67)</w:t>
            </w:r>
          </w:p>
        </w:tc>
        <w:tc>
          <w:tcPr>
            <w:tcW w:type="dxa" w:w="2880"/>
          </w:tcPr>
          <w:p>
            <w:pPr>
              <w:jc w:val="right"/>
            </w:pPr>
            <w:r>
              <w:rPr>
                <w:sz w:val="19"/>
              </w:rPr>
              <w:t>€96.900</w:t>
            </w:r>
          </w:p>
        </w:tc>
        <w:tc>
          <w:tcPr>
            <w:tcW w:type="dxa" w:w="2880"/>
          </w:tcPr>
          <w:p>
            <w:pPr>
              <w:jc w:val="right"/>
            </w:pPr>
            <w:r>
              <w:rPr>
                <w:sz w:val="19"/>
              </w:rPr>
              <w:t>49%</w:t>
            </w:r>
          </w:p>
        </w:tc>
      </w:tr>
      <w:tr>
        <w:tc>
          <w:tcPr>
            <w:tcW w:type="dxa" w:w="2880"/>
            <w:shd w:val="clear" w:color="auto" w:fill="F5F3EC"/>
          </w:tcPr>
          <w:p>
            <w:r>
              <w:rPr>
                <w:sz w:val="19"/>
              </w:rPr>
              <w:t>D'Oro tenuto a scadenza 2040 (capitale minimo garantito)</w:t>
            </w:r>
          </w:p>
        </w:tc>
        <w:tc>
          <w:tcPr>
            <w:tcW w:type="dxa" w:w="2880"/>
            <w:shd w:val="clear" w:color="auto" w:fill="F5F3EC"/>
          </w:tcPr>
          <w:p>
            <w:pPr>
              <w:jc w:val="right"/>
            </w:pPr>
            <w:r>
              <w:rPr>
                <w:sz w:val="19"/>
              </w:rPr>
              <w:t>€62.000</w:t>
            </w:r>
          </w:p>
        </w:tc>
        <w:tc>
          <w:tcPr>
            <w:tcW w:type="dxa" w:w="2880"/>
            <w:shd w:val="clear" w:color="auto" w:fill="F5F3EC"/>
          </w:tcPr>
          <w:p>
            <w:pPr>
              <w:jc w:val="right"/>
            </w:pPr>
            <w:r>
              <w:rPr>
                <w:sz w:val="19"/>
              </w:rPr>
              <w:t>31%</w:t>
            </w:r>
          </w:p>
        </w:tc>
      </w:tr>
      <w:tr>
        <w:tc>
          <w:tcPr>
            <w:tcW w:type="dxa" w:w="2880"/>
          </w:tcPr>
          <w:p>
            <w:r>
              <w:rPr>
                <w:sz w:val="19"/>
              </w:rPr>
              <w:t>€2.500/anno risparmiati dal 2028 al 2041 (14 anni, al 2,2% netto medio — non esistono conti deposito con vincolo unico così lungo: serve una serie di depositi scaglionati/rinnovati ogni 2-5 anni, non un unico conto a 14 anni)</w:t>
            </w:r>
          </w:p>
        </w:tc>
        <w:tc>
          <w:tcPr>
            <w:tcW w:type="dxa" w:w="2880"/>
          </w:tcPr>
          <w:p>
            <w:pPr>
              <w:jc w:val="right"/>
            </w:pPr>
            <w:r>
              <w:rPr>
                <w:sz w:val="19"/>
              </w:rPr>
              <w:t>€40.500</w:t>
            </w:r>
          </w:p>
        </w:tc>
        <w:tc>
          <w:tcPr>
            <w:tcW w:type="dxa" w:w="2880"/>
          </w:tcPr>
          <w:p>
            <w:pPr>
              <w:jc w:val="right"/>
            </w:pPr>
            <w:r>
              <w:rPr>
                <w:sz w:val="19"/>
              </w:rPr>
              <w:t>20%</w:t>
            </w:r>
          </w:p>
        </w:tc>
      </w:tr>
      <w:tr>
        <w:tc>
          <w:tcPr>
            <w:tcW w:type="dxa" w:w="2880"/>
            <w:shd w:val="clear" w:color="auto" w:fill="F5F3EC"/>
          </w:tcPr>
          <w:p>
            <w:r>
              <w:rPr>
                <w:sz w:val="19"/>
              </w:rPr>
              <w:t>Totale a 67 anni</w:t>
            </w:r>
          </w:p>
        </w:tc>
        <w:tc>
          <w:tcPr>
            <w:tcW w:type="dxa" w:w="2880"/>
            <w:shd w:val="clear" w:color="auto" w:fill="F5F3EC"/>
          </w:tcPr>
          <w:p>
            <w:pPr>
              <w:jc w:val="right"/>
            </w:pPr>
            <w:r>
              <w:rPr>
                <w:b/>
                <w:color w:val="9A6B2C"/>
                <w:sz w:val="19"/>
              </w:rPr>
              <w:t>€199.400</w:t>
            </w:r>
          </w:p>
        </w:tc>
        <w:tc>
          <w:tcPr>
            <w:tcW w:type="dxa" w:w="2880"/>
            <w:shd w:val="clear" w:color="auto" w:fill="F5F3EC"/>
          </w:tcPr>
          <w:p>
            <w:pPr>
              <w:jc w:val="right"/>
            </w:pPr>
            <w:r>
              <w:rPr>
                <w:sz w:val="19"/>
              </w:rPr>
              <w:t>100%</w:t>
            </w:r>
          </w:p>
        </w:tc>
      </w:tr>
    </w:tbl>
    <w:p>
      <w:pPr>
        <w:spacing w:after="80"/>
      </w:pPr>
    </w:p>
    <w:p>
      <w:pPr>
        <w:spacing w:after="200"/>
      </w:pPr>
      <w:r>
        <w:rPr>
          <w:b w:val="0"/>
          <w:i w:val="0"/>
          <w:color w:val="5A6270"/>
          <w:sz w:val="17"/>
        </w:rPr>
        <w:t>Nota: la tabella “Uscita 2030” (€216.800) presente nelle versioni precedenti di questo documento è stata rimossa — Casetti ha confermato che il prelievo pieno anticipato non è possibile, quindi quello scenario non è più percorribile.</w:t>
      </w:r>
    </w:p>
    <w:tbl>
      <w:tblPr>
        <w:tblW w:type="auto" w:w="0"/>
        <w:jc w:val="center"/>
        <w:tblLook w:firstColumn="1" w:firstRow="1" w:lastColumn="0" w:lastRow="0" w:noHBand="0" w:noVBand="1" w:val="04A0"/>
      </w:tblPr>
      <w:tblGrid>
        <w:gridCol w:w="8640"/>
      </w:tblGrid>
      <w:tr>
        <w:tc>
          <w:tcPr>
            <w:tcW w:type="dxa" w:w="8640"/>
            <w:shd w:val="clear" w:color="auto" w:fill="E6EDE8"/>
          </w:tcPr>
          <w:p>
            <w:pPr>
              <w:spacing w:after="80" w:before="40"/>
            </w:pPr>
            <w:r>
              <w:rPr>
                <w:b/>
                <w:color w:val="2F6E52"/>
                <w:sz w:val="18"/>
              </w:rPr>
              <w:t>TENERE D'ORO FINO AL 2040 È UNA SCELTA DI SICUREZZA, NON DI RENDIMENTO MASSIMO</w:t>
            </w:r>
          </w:p>
          <w:p>
            <w:pPr>
              <w:spacing w:after="80" w:before="40"/>
            </w:pPr>
            <w:r>
              <w:rPr>
                <w:b w:val="0"/>
                <w:i w:val="0"/>
              </w:rPr>
              <w:t xml:space="preserve">A parità di soldi versati, riscattare D'Oro nel 2030 (~€35.000) e investire anche i €2.500/anno successivi (in una serie di conti deposito scaglionati/rinnovati, non un unico vincolo di 11 anni — non esistono conti deposito con durata così lunga) darebbe circa </w:t>
            </w:r>
            <w:r>
              <w:rPr>
                <w:b/>
                <w:i w:val="0"/>
              </w:rPr>
              <w:t>€75.200</w:t>
            </w:r>
            <w:r>
              <w:rPr>
                <w:b w:val="0"/>
                <w:i w:val="0"/>
              </w:rPr>
              <w:t xml:space="preserve"> entro il 2041 — più dei €62.000 del capitale minimo garantito a scadenza. Il “minimo garantito” di D'Oro, infatti, è quasi un pareggio puro con la somma dei premi totali versati: da solo non batte nemmeno l'inflazione.</w:t>
            </w:r>
          </w:p>
          <w:p>
            <w:pPr>
              <w:spacing w:after="80" w:before="40"/>
            </w:pPr>
            <w:r>
              <w:rPr>
                <w:b/>
                <w:i w:val="0"/>
              </w:rPr>
              <w:t>Perché nell'esploso tengo comunque D'Oro fino al 2040</w:t>
            </w:r>
            <w:r>
              <w:rPr>
                <w:b w:val="0"/>
                <w:i w:val="0"/>
              </w:rPr>
              <w:t>: è la scelta più sicura e tranquilla, non quella che massimizza il rendimento atteso. D'Oro garantisce un pavimento contro rendimenti negativi e paga il capitale ai beneficiari fuori successione e rapidamente in caso di decesso — una protezione familiare che un conto deposito non replica allo stesso modo. Rinunciare a ~€13.000 di rendimento atteso per questa tranquillità è una scelta legittima, coerente con l'approccio prudente scelto per tutto il resto del piano.</w:t>
            </w:r>
          </w:p>
        </w:tc>
      </w:tr>
    </w:tbl>
    <w:p>
      <w:pPr>
        <w:spacing w:after="40"/>
      </w:pPr>
    </w:p>
    <w:p>
      <w:pPr>
        <w:pStyle w:val="Heading2"/>
      </w:pPr>
      <w:r>
        <w:rPr>
          <w:color w:val="9A6B2C"/>
        </w:rPr>
        <w:t xml:space="preserve">§3  </w:t>
      </w:r>
      <w:r>
        <w:rPr>
          <w:color w:val="1C2430"/>
        </w:rPr>
        <w:t>Punto di pareggio e costo della mancata reversibilità</w:t>
      </w:r>
    </w:p>
    <w:p>
      <w:pPr>
        <w:spacing w:after="200"/>
      </w:pPr>
      <w:r>
        <w:rPr>
          <w:b w:val="0"/>
          <w:i/>
          <w:color w:val="5A6270"/>
          <w:sz w:val="20"/>
        </w:rPr>
        <w:t>Se converti l'intera posizione PIP (€152.857) in rendita vitalizia a 67 anni (€6.401,93 lordi/anno).</w:t>
      </w:r>
    </w:p>
    <w:p>
      <w:pPr>
        <w:spacing w:after="40"/>
      </w:pPr>
      <w:r>
        <w:rPr>
          <w:b/>
          <w:color w:val="5A6270"/>
          <w:sz w:val="17"/>
        </w:rPr>
        <w:t>QUANTO “VALE” LA RENDITA A SECONDA DI QUANTO VIVI</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E8E4D6"/>
          </w:tcPr>
          <w:p>
            <w:r>
              <w:rPr>
                <w:b/>
                <w:color w:val="5A6270"/>
                <w:sz w:val="18"/>
              </w:rPr>
              <w:t>Se muori a</w:t>
            </w:r>
          </w:p>
        </w:tc>
        <w:tc>
          <w:tcPr>
            <w:tcW w:type="dxa" w:w="2160"/>
            <w:shd w:val="clear" w:color="auto" w:fill="E8E4D6"/>
          </w:tcPr>
          <w:p>
            <w:pPr>
              <w:jc w:val="right"/>
            </w:pPr>
            <w:r>
              <w:rPr>
                <w:b/>
                <w:color w:val="5A6270"/>
                <w:sz w:val="18"/>
              </w:rPr>
              <w:t>Rendita incassata (lorda)</w:t>
            </w:r>
          </w:p>
        </w:tc>
        <w:tc>
          <w:tcPr>
            <w:tcW w:type="dxa" w:w="2160"/>
            <w:shd w:val="clear" w:color="auto" w:fill="E8E4D6"/>
          </w:tcPr>
          <w:p>
            <w:pPr>
              <w:jc w:val="right"/>
            </w:pPr>
            <w:r>
              <w:rPr>
                <w:b/>
                <w:color w:val="5A6270"/>
                <w:sz w:val="18"/>
              </w:rPr>
              <w:t>% del capitale convertito</w:t>
            </w:r>
          </w:p>
        </w:tc>
        <w:tc>
          <w:tcPr>
            <w:tcW w:type="dxa" w:w="2160"/>
            <w:shd w:val="clear" w:color="auto" w:fill="E8E4D6"/>
          </w:tcPr>
          <w:p>
            <w:pPr>
              <w:jc w:val="right"/>
            </w:pPr>
            <w:r>
              <w:rPr>
                <w:b/>
                <w:color w:val="5A6270"/>
                <w:sz w:val="18"/>
              </w:rPr>
              <w:t>Capitale perso per gli eredi</w:t>
            </w:r>
          </w:p>
        </w:tc>
      </w:tr>
      <w:tr>
        <w:tc>
          <w:tcPr>
            <w:tcW w:type="dxa" w:w="2160"/>
          </w:tcPr>
          <w:p>
            <w:r>
              <w:rPr>
                <w:sz w:val="19"/>
              </w:rPr>
              <w:t>75 anni</w:t>
            </w:r>
          </w:p>
        </w:tc>
        <w:tc>
          <w:tcPr>
            <w:tcW w:type="dxa" w:w="2160"/>
          </w:tcPr>
          <w:p>
            <w:pPr>
              <w:jc w:val="right"/>
            </w:pPr>
            <w:r>
              <w:rPr>
                <w:sz w:val="19"/>
              </w:rPr>
              <w:t>€51.215</w:t>
            </w:r>
          </w:p>
        </w:tc>
        <w:tc>
          <w:tcPr>
            <w:tcW w:type="dxa" w:w="2160"/>
          </w:tcPr>
          <w:p>
            <w:pPr>
              <w:jc w:val="right"/>
            </w:pPr>
            <w:r>
              <w:rPr>
                <w:sz w:val="19"/>
              </w:rPr>
              <w:t>33%</w:t>
            </w:r>
          </w:p>
        </w:tc>
        <w:tc>
          <w:tcPr>
            <w:tcW w:type="dxa" w:w="2160"/>
          </w:tcPr>
          <w:p>
            <w:pPr>
              <w:jc w:val="right"/>
            </w:pPr>
            <w:r>
              <w:rPr>
                <w:sz w:val="19"/>
              </w:rPr>
              <w:t>€101.642</w:t>
            </w:r>
          </w:p>
        </w:tc>
      </w:tr>
      <w:tr>
        <w:tc>
          <w:tcPr>
            <w:tcW w:type="dxa" w:w="2160"/>
            <w:shd w:val="clear" w:color="auto" w:fill="F5F3EC"/>
          </w:tcPr>
          <w:p>
            <w:r>
              <w:rPr>
                <w:sz w:val="19"/>
              </w:rPr>
              <w:t>85 anni</w:t>
            </w:r>
          </w:p>
        </w:tc>
        <w:tc>
          <w:tcPr>
            <w:tcW w:type="dxa" w:w="2160"/>
            <w:shd w:val="clear" w:color="auto" w:fill="F5F3EC"/>
          </w:tcPr>
          <w:p>
            <w:pPr>
              <w:jc w:val="right"/>
            </w:pPr>
            <w:r>
              <w:rPr>
                <w:sz w:val="19"/>
              </w:rPr>
              <w:t>€115.235</w:t>
            </w:r>
          </w:p>
        </w:tc>
        <w:tc>
          <w:tcPr>
            <w:tcW w:type="dxa" w:w="2160"/>
            <w:shd w:val="clear" w:color="auto" w:fill="F5F3EC"/>
          </w:tcPr>
          <w:p>
            <w:pPr>
              <w:jc w:val="right"/>
            </w:pPr>
            <w:r>
              <w:rPr>
                <w:sz w:val="19"/>
              </w:rPr>
              <w:t>75%</w:t>
            </w:r>
          </w:p>
        </w:tc>
        <w:tc>
          <w:tcPr>
            <w:tcW w:type="dxa" w:w="2160"/>
            <w:shd w:val="clear" w:color="auto" w:fill="F5F3EC"/>
          </w:tcPr>
          <w:p>
            <w:pPr>
              <w:jc w:val="right"/>
            </w:pPr>
            <w:r>
              <w:rPr>
                <w:sz w:val="19"/>
              </w:rPr>
              <w:t>€37.622</w:t>
            </w:r>
          </w:p>
        </w:tc>
      </w:tr>
      <w:tr>
        <w:tc>
          <w:tcPr>
            <w:tcW w:type="dxa" w:w="2160"/>
          </w:tcPr>
          <w:p>
            <w:r>
              <w:rPr>
                <w:sz w:val="19"/>
              </w:rPr>
              <w:t>91 anni</w:t>
            </w:r>
          </w:p>
        </w:tc>
        <w:tc>
          <w:tcPr>
            <w:tcW w:type="dxa" w:w="2160"/>
          </w:tcPr>
          <w:p>
            <w:pPr>
              <w:jc w:val="right"/>
            </w:pPr>
            <w:r>
              <w:rPr>
                <w:sz w:val="19"/>
              </w:rPr>
              <w:t>€153.646</w:t>
            </w:r>
          </w:p>
        </w:tc>
        <w:tc>
          <w:tcPr>
            <w:tcW w:type="dxa" w:w="2160"/>
          </w:tcPr>
          <w:p>
            <w:pPr>
              <w:jc w:val="right"/>
            </w:pPr>
            <w:r>
              <w:rPr>
                <w:sz w:val="19"/>
              </w:rPr>
              <w:t>101% — pareggio</w:t>
            </w:r>
          </w:p>
        </w:tc>
        <w:tc>
          <w:tcPr>
            <w:tcW w:type="dxa" w:w="2160"/>
          </w:tcPr>
          <w:p>
            <w:pPr>
              <w:jc w:val="right"/>
            </w:pPr>
            <w:r>
              <w:rPr>
                <w:sz w:val="19"/>
              </w:rPr>
              <w:t>≈ €0</w:t>
            </w:r>
          </w:p>
        </w:tc>
      </w:tr>
      <w:tr>
        <w:tc>
          <w:tcPr>
            <w:tcW w:type="dxa" w:w="2160"/>
            <w:shd w:val="clear" w:color="auto" w:fill="F5F3EC"/>
          </w:tcPr>
          <w:p>
            <w:r>
              <w:rPr>
                <w:sz w:val="19"/>
              </w:rPr>
              <w:t>95 anni</w:t>
            </w:r>
          </w:p>
        </w:tc>
        <w:tc>
          <w:tcPr>
            <w:tcW w:type="dxa" w:w="2160"/>
            <w:shd w:val="clear" w:color="auto" w:fill="F5F3EC"/>
          </w:tcPr>
          <w:p>
            <w:pPr>
              <w:jc w:val="right"/>
            </w:pPr>
            <w:r>
              <w:rPr>
                <w:sz w:val="19"/>
              </w:rPr>
              <w:t>€179.254</w:t>
            </w:r>
          </w:p>
        </w:tc>
        <w:tc>
          <w:tcPr>
            <w:tcW w:type="dxa" w:w="2160"/>
            <w:shd w:val="clear" w:color="auto" w:fill="F5F3EC"/>
          </w:tcPr>
          <w:p>
            <w:pPr>
              <w:jc w:val="right"/>
            </w:pPr>
            <w:r>
              <w:rPr>
                <w:sz w:val="19"/>
              </w:rPr>
              <w:t>117%</w:t>
            </w:r>
          </w:p>
        </w:tc>
        <w:tc>
          <w:tcPr>
            <w:tcW w:type="dxa" w:w="2160"/>
            <w:shd w:val="clear" w:color="auto" w:fill="F5F3EC"/>
          </w:tcPr>
          <w:p>
            <w:pPr>
              <w:jc w:val="right"/>
            </w:pPr>
            <w:r>
              <w:rPr>
                <w:sz w:val="19"/>
              </w:rPr>
              <w:t>in vantaggio</w:t>
            </w:r>
          </w:p>
        </w:tc>
      </w:tr>
    </w:tbl>
    <w:p>
      <w:pPr>
        <w:spacing w:after="80"/>
      </w:pPr>
    </w:p>
    <w:p>
      <w:pPr>
        <w:spacing w:after="120"/>
      </w:pPr>
      <w:r>
        <w:rPr>
          <w:b w:val="0"/>
          <w:i w:val="0"/>
        </w:rPr>
        <w:t xml:space="preserve">Il pareggio è a </w:t>
      </w:r>
      <w:r>
        <w:rPr>
          <w:b/>
          <w:i w:val="0"/>
        </w:rPr>
        <w:t>~91 anni</w:t>
      </w:r>
      <w:r>
        <w:rPr>
          <w:b w:val="0"/>
          <w:i w:val="0"/>
        </w:rPr>
        <w:t xml:space="preserve">. Prima di quell'età, ogni anno di vita in meno è capitale che resta alla compagnia. La rendita </w:t>
      </w:r>
      <w:r>
        <w:rPr>
          <w:b/>
          <w:i w:val="0"/>
        </w:rPr>
        <w:t>reversibile</w:t>
      </w:r>
      <w:r>
        <w:rPr>
          <w:b w:val="0"/>
          <w:i w:val="0"/>
        </w:rPr>
        <w:t xml:space="preserve"> (a favore di Megumi) risolverebbe il problema ma riduce l'importo mensile — Alleanza non ha ancora dato il coefficiente esatto.</w:t>
      </w:r>
    </w:p>
    <w:p>
      <w:r>
        <w:br w:type="page"/>
      </w:r>
    </w:p>
    <w:p>
      <w:pPr>
        <w:pStyle w:val="Heading2"/>
      </w:pPr>
      <w:r>
        <w:rPr>
          <w:color w:val="9A6B2C"/>
        </w:rPr>
        <w:t xml:space="preserve">Sintesi  </w:t>
      </w:r>
      <w:r>
        <w:rPr>
          <w:color w:val="1C2430"/>
        </w:rPr>
        <w:t>Cosa fare, in ordine</w:t>
      </w:r>
    </w:p>
    <w:tbl>
      <w:tblPr>
        <w:tblW w:type="auto" w:w="0"/>
        <w:jc w:val="center"/>
        <w:tblLook w:firstColumn="1" w:firstRow="1" w:lastColumn="0" w:lastRow="0" w:noHBand="0" w:noVBand="1" w:val="04A0"/>
      </w:tblPr>
      <w:tblGrid>
        <w:gridCol w:w="8640"/>
      </w:tblGrid>
      <w:tr>
        <w:tc>
          <w:tcPr>
            <w:tcW w:type="dxa" w:w="8640"/>
            <w:shd w:val="clear" w:color="auto" w:fill="F1E4CD"/>
          </w:tcPr>
          <w:p>
            <w:pPr>
              <w:spacing w:after="80" w:before="40"/>
            </w:pPr>
            <w:r>
              <w:rPr>
                <w:b/>
                <w:color w:val="9A6B2C"/>
                <w:sz w:val="18"/>
              </w:rPr>
              <w:t>1 — DECISIONE PRESA: PERCORSO LEGALE, FERMARSI CON I VERSAMENTI PIP ENTRO IL 2026-2027</w:t>
            </w:r>
          </w:p>
          <w:p>
            <w:pPr>
              <w:spacing w:after="80" w:before="40"/>
            </w:pPr>
            <w:r>
              <w:rPr>
                <w:b w:val="0"/>
                <w:i w:val="0"/>
              </w:rPr>
              <w:t xml:space="preserve">L'ipotesi Uscita 2030 è esclusa (v. §2). Fermarsi </w:t>
            </w:r>
            <w:r>
              <w:rPr>
                <w:b/>
                <w:i w:val="0"/>
              </w:rPr>
              <w:t>subito (2026)</w:t>
            </w:r>
            <w:r>
              <w:rPr>
                <w:b w:val="0"/>
                <w:i w:val="0"/>
              </w:rPr>
              <w:t xml:space="preserve"> dà il margine di sicurezza più ampio (~€8.900 sotto soglia a 67 anni) contro imprevisti; aspettare fino al 2027 resta sicuro ma con margine più stretto (~€3.100). Oltre il 2027-2028 il punto di non ritorno è superato (v. §1).</w:t>
            </w:r>
          </w:p>
        </w:tc>
      </w:tr>
    </w:tbl>
    <w:p>
      <w:pPr>
        <w:spacing w:after="40"/>
      </w:pPr>
    </w:p>
    <w:tbl>
      <w:tblPr>
        <w:tblW w:type="auto" w:w="0"/>
        <w:jc w:val="center"/>
        <w:tblLook w:firstColumn="1" w:firstRow="1" w:lastColumn="0" w:lastRow="0" w:noHBand="0" w:noVBand="1" w:val="04A0"/>
      </w:tblPr>
      <w:tblGrid>
        <w:gridCol w:w="8640"/>
      </w:tblGrid>
      <w:tr>
        <w:tc>
          <w:tcPr>
            <w:tcW w:type="dxa" w:w="8640"/>
            <w:shd w:val="clear" w:color="auto" w:fill="F2E6E3"/>
          </w:tcPr>
          <w:p>
            <w:pPr>
              <w:spacing w:after="80" w:before="40"/>
            </w:pPr>
            <w:r>
              <w:rPr>
                <w:b/>
                <w:color w:val="8A3B32"/>
                <w:sz w:val="18"/>
              </w:rPr>
              <w:t>2 — RISPOSTE RICEVUTE DA CASETTI (15/07/2026)</w:t>
            </w:r>
          </w:p>
          <w:p>
            <w:pPr>
              <w:spacing w:after="80" w:before="40"/>
            </w:pPr>
            <w:r>
              <w:rPr>
                <w:b/>
                <w:i w:val="0"/>
              </w:rPr>
              <w:t>a)</w:t>
            </w:r>
            <w:r>
              <w:rPr>
                <w:b w:val="0"/>
                <w:i w:val="0"/>
              </w:rPr>
              <w:t xml:space="preserve"> Confermato: il diritto a capitale/rendita matura solo a 67 anni, mai prima — Uscita 2030 esclusa.</w:t>
            </w:r>
          </w:p>
          <w:p>
            <w:pPr>
              <w:spacing w:after="80" w:before="40"/>
            </w:pPr>
            <w:r>
              <w:rPr>
                <w:b/>
                <w:i w:val="0"/>
              </w:rPr>
              <w:t>b)</w:t>
            </w:r>
            <w:r>
              <w:rPr>
                <w:b w:val="0"/>
                <w:i w:val="0"/>
              </w:rPr>
              <w:t xml:space="preserve"> Confermato che la rendita </w:t>
            </w:r>
            <w:r>
              <w:rPr>
                <w:b/>
                <w:i w:val="0"/>
              </w:rPr>
              <w:t>si rivaluta</w:t>
            </w:r>
            <w:r>
              <w:rPr>
                <w:b w:val="0"/>
                <w:i w:val="0"/>
              </w:rPr>
              <w:t xml:space="preserve"> nel tempo, ma senza specificare il meccanismo/indice.</w:t>
            </w:r>
          </w:p>
          <w:p>
            <w:pPr>
              <w:spacing w:after="80" w:before="40"/>
            </w:pPr>
            <w:r>
              <w:rPr>
                <w:b/>
                <w:i w:val="0"/>
              </w:rPr>
              <w:t>c)</w:t>
            </w:r>
            <w:r>
              <w:rPr>
                <w:b w:val="0"/>
                <w:i w:val="0"/>
              </w:rPr>
              <w:t xml:space="preserve"> Coefficiente di reversibilità per Megumi: </w:t>
            </w:r>
            <w:r>
              <w:rPr>
                <w:b/>
                <w:i w:val="0"/>
              </w:rPr>
              <w:t>ancora non fornito</w:t>
            </w:r>
            <w:r>
              <w:rPr>
                <w:b w:val="0"/>
                <w:i w:val="0"/>
              </w:rPr>
              <w:t xml:space="preserve"> — Casetti dice di aver bisogno di un'ipotesi di durata (fino a quando tu e poi Megumi percepireste la rendita) per calcolarlo.</w:t>
            </w:r>
          </w:p>
          <w:p>
            <w:pPr>
              <w:spacing w:after="80" w:before="40"/>
            </w:pPr>
            <w:r>
              <w:rPr>
                <w:b w:val="0"/>
                <w:i w:val="0"/>
              </w:rPr>
              <w:t xml:space="preserve">Informazione nuova non richiesta: il tetto di capitale liquidabile potrebbe essere salito dal 50% al </w:t>
            </w:r>
            <w:r>
              <w:rPr>
                <w:b/>
                <w:i w:val="0"/>
              </w:rPr>
              <w:t>60%</w:t>
            </w:r>
            <w:r>
              <w:rPr>
                <w:b w:val="0"/>
                <w:i w:val="0"/>
              </w:rPr>
              <w:t xml:space="preserve"> per una possibile novità di legge di bilancio — da confermare quale si applica al tuo caso.</w:t>
            </w:r>
          </w:p>
        </w:tc>
      </w:tr>
    </w:tbl>
    <w:p>
      <w:pPr>
        <w:spacing w:after="40"/>
      </w:pPr>
    </w:p>
    <w:tbl>
      <w:tblPr>
        <w:tblW w:type="auto" w:w="0"/>
        <w:jc w:val="center"/>
        <w:tblLook w:firstColumn="1" w:firstRow="1" w:lastColumn="0" w:lastRow="0" w:noHBand="0" w:noVBand="1" w:val="04A0"/>
      </w:tblPr>
      <w:tblGrid>
        <w:gridCol w:w="8640"/>
      </w:tblGrid>
      <w:tr>
        <w:tc>
          <w:tcPr>
            <w:tcW w:type="dxa" w:w="8640"/>
            <w:shd w:val="clear" w:color="auto" w:fill="F2E6E3"/>
          </w:tcPr>
          <w:p>
            <w:pPr>
              <w:spacing w:after="80" w:before="40"/>
            </w:pPr>
            <w:r>
              <w:rPr>
                <w:b/>
                <w:color w:val="8A3B32"/>
                <w:sz w:val="18"/>
              </w:rPr>
              <w:t>2BIS — DOMANDE ANCORA SENZA RISPOSTA NUMERICA, DA CHIUDERE NELL'INCONTRO DI PERSONA</w:t>
            </w:r>
          </w:p>
          <w:p>
            <w:pPr>
              <w:spacing w:after="80" w:before="40"/>
            </w:pPr>
            <w:r>
              <w:rPr>
                <w:b w:val="0"/>
                <w:i w:val="0"/>
              </w:rPr>
              <w:t>Rendita netta mensile reale a 67 anni (mai fornito un importo in euro).</w:t>
            </w:r>
          </w:p>
          <w:p>
            <w:pPr>
              <w:spacing w:after="80" w:before="40"/>
            </w:pPr>
            <w:r>
              <w:rPr>
                <w:b w:val="0"/>
                <w:i w:val="0"/>
              </w:rPr>
              <w:t>Importo netto per te e per Megumi con la reversibilità attiva.</w:t>
            </w:r>
          </w:p>
          <w:p>
            <w:pPr>
              <w:spacing w:after="80" w:before="40"/>
            </w:pPr>
            <w:r>
              <w:rPr>
                <w:b w:val="0"/>
                <w:i w:val="0"/>
              </w:rPr>
              <w:t>Perché il capitale minimo garantito D'Oro (€62.077,86) è inferiore alla somma dei premi attesi (€62.500) — nessuna spiegazione ricevuta.</w:t>
            </w:r>
          </w:p>
          <w:p>
            <w:pPr>
              <w:spacing w:after="80" w:before="40"/>
            </w:pPr>
            <w:r>
              <w:rPr>
                <w:b w:val="0"/>
                <w:i w:val="0"/>
              </w:rPr>
              <w:t>Scomposizione della perdita di €3.900 in caso di riscatto D'Oro (caricamenti / copertura / penale) e anno o valore in cui il riscatto tornerebbe in pareggio con i premi versati — ricevuta solo una spiegazione generale (l'uscita anticipata rispetto alla durata pattuita concentra i costi), nessun numero o data.</w:t>
            </w:r>
          </w:p>
          <w:p>
            <w:pPr>
              <w:spacing w:after="80" w:before="40"/>
            </w:pPr>
            <w:r>
              <w:rPr>
                <w:b w:val="0"/>
                <w:i w:val="0"/>
              </w:rPr>
              <w:t>Coefficiente di conversione corretto (4,19% vs 5,772% nel documento) e capitale minimo garantito a 67 anni sul PIP.</w:t>
            </w:r>
          </w:p>
        </w:tc>
      </w:tr>
    </w:tbl>
    <w:p>
      <w:pPr>
        <w:spacing w:after="40"/>
      </w:pPr>
    </w:p>
    <w:tbl>
      <w:tblPr>
        <w:tblW w:type="auto" w:w="0"/>
        <w:jc w:val="center"/>
        <w:tblLook w:firstColumn="1" w:firstRow="1" w:lastColumn="0" w:lastRow="0" w:noHBand="0" w:noVBand="1" w:val="04A0"/>
      </w:tblPr>
      <w:tblGrid>
        <w:gridCol w:w="8640"/>
      </w:tblGrid>
      <w:tr>
        <w:tc>
          <w:tcPr>
            <w:tcW w:type="dxa" w:w="8640"/>
            <w:shd w:val="clear" w:color="auto" w:fill="E6EDE8"/>
          </w:tcPr>
          <w:p>
            <w:pPr>
              <w:spacing w:after="80" w:before="40"/>
            </w:pPr>
            <w:r>
              <w:rPr>
                <w:b/>
                <w:color w:val="2F6E52"/>
                <w:sz w:val="18"/>
              </w:rPr>
              <w:t>3 — IN ENTRAMBI GLI SCENARI DI CAPITALE LIBERO, LA RENDITA VITALIZIA CONVIENE SOLO OLTRE I 95-99 ANNI</w:t>
            </w:r>
          </w:p>
          <w:p>
            <w:pPr>
              <w:spacing w:after="80" w:before="40"/>
            </w:pPr>
            <w:r>
              <w:rPr>
                <w:b w:val="0"/>
                <w:i w:val="0"/>
              </w:rPr>
              <w:t>Sotto quell'età, sia il Percorso legale sia l'Uscita 2030 generano più reddito mensile e restano trasferibili agli eredi. Oltre quell'età, solo la rendita continua a pagare.</w:t>
            </w:r>
          </w:p>
        </w:tc>
      </w:tr>
    </w:tbl>
    <w:p>
      <w:pPr>
        <w:spacing w:after="40"/>
      </w:pPr>
    </w:p>
    <w:tbl>
      <w:tblPr>
        <w:tblW w:type="auto" w:w="0"/>
        <w:jc w:val="center"/>
        <w:tblLook w:firstColumn="1" w:firstRow="1" w:lastColumn="0" w:lastRow="0" w:noHBand="0" w:noVBand="1" w:val="04A0"/>
      </w:tblPr>
      <w:tblGrid>
        <w:gridCol w:w="8640"/>
      </w:tblGrid>
      <w:tr>
        <w:tc>
          <w:tcPr>
            <w:tcW w:type="dxa" w:w="8640"/>
            <w:shd w:val="clear" w:color="auto" w:fill="F1E4CD"/>
          </w:tcPr>
          <w:p>
            <w:pPr>
              <w:spacing w:after="80" w:before="40"/>
            </w:pPr>
            <w:r>
              <w:rPr>
                <w:b/>
                <w:color w:val="9A6B2C"/>
                <w:sz w:val="18"/>
              </w:rPr>
              <w:t>4 — LA DEDUZIONE FISCALE RESTA L'ARGOMENTO PIÙ FORTE PER NON FERMARSI SUBITO</w:t>
            </w:r>
          </w:p>
          <w:p>
            <w:pPr>
              <w:spacing w:after="80" w:before="40"/>
            </w:pPr>
            <w:r>
              <w:rPr>
                <w:b w:val="0"/>
                <w:i w:val="0"/>
              </w:rPr>
              <w:t>Il 43% su €5.000/anno è un guadagno certo e immediato che nessun conto deposito replica — vale la pena continuare a versare almeno fino al 2026-2027, indipendentemente dalla strada scelta poi.</w:t>
            </w:r>
          </w:p>
        </w:tc>
      </w:tr>
    </w:tbl>
    <w:p>
      <w:pPr>
        <w:spacing w:after="40"/>
      </w:pPr>
    </w:p>
    <w:p>
      <w:r>
        <w:br w:type="page"/>
      </w:r>
    </w:p>
    <w:p>
      <w:pPr>
        <w:pStyle w:val="Heading2"/>
      </w:pPr>
      <w:r>
        <w:rPr>
          <w:color w:val="9A6B2C"/>
        </w:rPr>
        <w:t xml:space="preserve">Appendice  </w:t>
      </w:r>
      <w:r>
        <w:rPr>
          <w:color w:val="1C2430"/>
        </w:rPr>
        <w:t>Suggerimento per la mail a Casetti</w:t>
      </w:r>
    </w:p>
    <w:p>
      <w:pPr>
        <w:spacing w:after="200"/>
      </w:pPr>
      <w:r>
        <w:rPr>
          <w:b w:val="0"/>
          <w:i/>
          <w:color w:val="5A6270"/>
          <w:sz w:val="20"/>
        </w:rPr>
        <w:t>Nella bozza “Ultima Mail di risposta alla sig.ra Casetti”, punto A, la domanda sull'anno di superamento soglia rischia una risposta ambigua. Frase da aggiungere subito dopo:</w:t>
      </w:r>
    </w:p>
    <w:tbl>
      <w:tblPr>
        <w:tblW w:type="auto" w:w="0"/>
        <w:jc w:val="center"/>
        <w:tblLook w:firstColumn="1" w:firstRow="1" w:lastColumn="0" w:lastRow="0" w:noHBand="0" w:noVBand="1" w:val="04A0"/>
      </w:tblPr>
      <w:tblGrid>
        <w:gridCol w:w="8640"/>
      </w:tblGrid>
      <w:tr>
        <w:tc>
          <w:tcPr>
            <w:tcW w:type="dxa" w:w="8640"/>
            <w:shd w:val="clear" w:color="auto" w:fill="F1E4CD"/>
          </w:tcPr>
          <w:p>
            <w:pPr>
              <w:spacing w:after="80" w:before="40"/>
            </w:pPr>
            <w:r>
              <w:rPr>
                <w:b/>
                <w:color w:val="9A6B2C"/>
                <w:sz w:val="18"/>
              </w:rPr>
              <w:t>FRASE SUGGERITA</w:t>
            </w:r>
          </w:p>
          <w:p>
            <w:pPr>
              <w:spacing w:after="80" w:before="40"/>
            </w:pPr>
            <w:r>
              <w:rPr>
                <w:b w:val="0"/>
                <w:i w:val="0"/>
              </w:rPr>
              <w:t>“Vorrei essere sicuro di aver capito correttamente il meccanismo: il superamento della soglia dei €100.000 in un dato anno (es. 2031) non mi dà di per sé alcun diritto di richiedere la liquidazione in quel momento, corretto? Il diritto di richiedere la prestazione (in capitale o rendita) nasce solo al raggiungimento dell'età pensionabile (67 anni), e solo in quel momento si guarda se la posizione è sopra o sotto soglia. È corretto? Se sì, l'unica leva che ho oggi è decidere se interrompere i versamenti ora, in modo che la posizione, dopo la sola rivalutazione fino al 2041, resti sotto soglia in quell'anno — non aspettare che tocchi €100.000 lungo il percorso.”</w:t>
            </w:r>
          </w:p>
        </w:tc>
      </w:tr>
    </w:tbl>
    <w:p>
      <w:pPr>
        <w:spacing w:after="40"/>
      </w:pPr>
    </w:p>
    <w:p>
      <w:pPr>
        <w:spacing w:before="320"/>
      </w:pPr>
      <w:r>
        <w:rPr>
          <w:i/>
          <w:color w:val="5A6270"/>
          <w:sz w:val="16"/>
        </w:rPr>
        <w:t>Fonti: prospetti Alleata Previdenza (2023/2024/2025), estratti conto e simulazione personalizzata (01/07/2026), estratto conto D'Oro 2014 (04/03/2025), corrispondenza con Claudia Casetti e Michelina Tenore (Alleanza Assicurazioni, Agenzia Roma San Giovanni). I calcoli indicati come stime sono elaborazioni proprie non ufficiali; da verificare con una simulazione ufficiale Alleanza prima di qualunque decisione operativa. La rendita D'Oro è una stima illustrativa: Alleanza ha dichiarato che il calcolo reale sarà possibile solo alla scadenza (2040).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C24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b/>
      <w:bCs/>
      <w:color w:val="1C2430"/>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b/>
      <w:bCs/>
      <w:color w:val="9A6B2C"/>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eorgia" w:hAnsi="Georgia"/>
      <w:b/>
      <w:bCs/>
      <w:color w:val="1C243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