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CB4F" w14:textId="77777777" w:rsidR="00637E85" w:rsidRDefault="00000000">
      <w:pPr>
        <w:pStyle w:val="Titolo1"/>
      </w:pPr>
      <w:bookmarkStart w:id="0" w:name="faq-normativa-e-sistemi-di-enforcement"/>
      <w:r>
        <w:t>FAQ – Normativa e Sistemi di Enforcement</w:t>
      </w:r>
    </w:p>
    <w:p w14:paraId="7FB28111" w14:textId="77777777" w:rsidR="00637E85" w:rsidRDefault="00000000">
      <w:pPr>
        <w:pStyle w:val="Titolo2"/>
      </w:pPr>
      <w:bookmarkStart w:id="1" w:name="X43d9de4452fa1e6ec3977cd83d3e6585997cbad"/>
      <w:r>
        <w:t>Domanda: Il sistema è omologato o approvato dal Ministero?</w:t>
      </w:r>
    </w:p>
    <w:p w14:paraId="7E0E748A" w14:textId="2A20C415" w:rsidR="00637E85" w:rsidRDefault="00000000">
      <w:pPr>
        <w:pStyle w:val="FirstParagraph"/>
      </w:pPr>
      <w:r>
        <w:t>Risposta: I dispositivi utilizzati per l’accertamento automatico delle violazioni devono essere approvati o omologati dal Ministero delle Infrastrutture e dei Trasporti secondo l’art. 45 del Codice della Strada.</w:t>
      </w:r>
      <w:r w:rsidR="009352D9">
        <w:t xml:space="preserve"> Per il rilevamento della velocità e del semaforo rosso I sistemi sono approvati, mentre per la ZTL sono omologati.</w:t>
      </w:r>
    </w:p>
    <w:p w14:paraId="0B99CCA5" w14:textId="77777777" w:rsidR="00637E85" w:rsidRDefault="00000000">
      <w:pPr>
        <w:pStyle w:val="Corpotesto"/>
      </w:pPr>
      <w:r>
        <w:rPr>
          <w:b/>
          <w:bCs/>
        </w:rPr>
        <w:t>Fonte:</w:t>
      </w:r>
    </w:p>
    <w:p w14:paraId="264C88D2" w14:textId="77777777" w:rsidR="00637E85" w:rsidRDefault="00000000">
      <w:pPr>
        <w:pStyle w:val="Compact"/>
        <w:numPr>
          <w:ilvl w:val="0"/>
          <w:numId w:val="2"/>
        </w:numPr>
      </w:pPr>
      <w:r>
        <w:t>Art. 45 D.Lgs. 285/1992 (Codice della Strada)</w:t>
      </w:r>
    </w:p>
    <w:p w14:paraId="6129A093" w14:textId="00674B7E" w:rsidR="00637E85" w:rsidRDefault="00000000">
      <w:pPr>
        <w:pStyle w:val="Compact"/>
        <w:numPr>
          <w:ilvl w:val="0"/>
          <w:numId w:val="2"/>
        </w:numPr>
      </w:pPr>
      <w:r>
        <w:t xml:space="preserve">Decreti MIT di approvazione e omologazione dei singoli </w:t>
      </w:r>
      <w:r w:rsidR="009352D9">
        <w:t>dispositive</w:t>
      </w:r>
    </w:p>
    <w:p w14:paraId="4E5C099B" w14:textId="38D7148D" w:rsidR="009352D9" w:rsidRDefault="009352D9">
      <w:pPr>
        <w:pStyle w:val="Compact"/>
        <w:numPr>
          <w:ilvl w:val="0"/>
          <w:numId w:val="2"/>
        </w:numPr>
      </w:pPr>
      <w:r>
        <w:t>Vari decreti di approvazione o omologazione.</w:t>
      </w:r>
    </w:p>
    <w:p w14:paraId="150221C3" w14:textId="77777777" w:rsidR="00637E85" w:rsidRDefault="00000000">
      <w:r>
        <w:pict w14:anchorId="3A99E245">
          <v:rect id="_x0000_i1025" style="width:0;height:1.5pt" o:hralign="center" o:hrstd="t" o:hr="t"/>
        </w:pict>
      </w:r>
    </w:p>
    <w:p w14:paraId="0DD60112" w14:textId="77777777" w:rsidR="00637E85" w:rsidRDefault="00000000">
      <w:pPr>
        <w:pStyle w:val="Titolo2"/>
      </w:pPr>
      <w:bookmarkStart w:id="2" w:name="Xef0a2d72b8454fde6ef0a315827a571c1c23957"/>
      <w:bookmarkEnd w:id="1"/>
      <w:r>
        <w:t>Domanda: Qual è la differenza tra approvazione e omologazione?</w:t>
      </w:r>
    </w:p>
    <w:p w14:paraId="65F3D119" w14:textId="77777777" w:rsidR="00637E85" w:rsidRDefault="00000000">
      <w:pPr>
        <w:pStyle w:val="FirstParagraph"/>
      </w:pPr>
      <w:r>
        <w:t>Risposta: L’informazione è presente nei decreti ministeriali ma una definizione generale e univoca della distinzione non è esplicitata nei documenti dell’archivio. Occorre fare riferimento al singolo decreto applicabile al dispositivo.</w:t>
      </w:r>
    </w:p>
    <w:p w14:paraId="55A9A9D0" w14:textId="77777777" w:rsidR="00637E85" w:rsidRDefault="00000000">
      <w:pPr>
        <w:pStyle w:val="Corpotesto"/>
      </w:pPr>
      <w:r>
        <w:rPr>
          <w:b/>
          <w:bCs/>
        </w:rPr>
        <w:t>Fonte:</w:t>
      </w:r>
    </w:p>
    <w:p w14:paraId="68E46275" w14:textId="77777777" w:rsidR="00637E85" w:rsidRDefault="00000000">
      <w:pPr>
        <w:pStyle w:val="Compact"/>
        <w:numPr>
          <w:ilvl w:val="0"/>
          <w:numId w:val="3"/>
        </w:numPr>
      </w:pPr>
      <w:r>
        <w:t>Art. 45 Codice della Strada</w:t>
      </w:r>
    </w:p>
    <w:p w14:paraId="1CA210CD" w14:textId="77777777" w:rsidR="00637E85" w:rsidRDefault="00000000">
      <w:pPr>
        <w:pStyle w:val="Compact"/>
        <w:numPr>
          <w:ilvl w:val="0"/>
          <w:numId w:val="3"/>
        </w:numPr>
      </w:pPr>
      <w:r>
        <w:t>Archivio decreti MIT</w:t>
      </w:r>
    </w:p>
    <w:p w14:paraId="106B4A56" w14:textId="77777777" w:rsidR="00637E85" w:rsidRDefault="00000000">
      <w:r>
        <w:pict w14:anchorId="3C8A33C1">
          <v:rect id="_x0000_i1026" style="width:0;height:1.5pt" o:hralign="center" o:hrstd="t" o:hr="t"/>
        </w:pict>
      </w:r>
    </w:p>
    <w:p w14:paraId="7F0F921D" w14:textId="77777777" w:rsidR="00637E85" w:rsidRDefault="00000000">
      <w:pPr>
        <w:pStyle w:val="Titolo2"/>
      </w:pPr>
      <w:bookmarkStart w:id="3" w:name="X82eeb893417021b2ab2ce126d6c99acd6eac2ca"/>
      <w:bookmarkEnd w:id="2"/>
      <w:r>
        <w:t>Domanda: È possibile accertare le violazioni senza la presenza continua di un operatore?</w:t>
      </w:r>
    </w:p>
    <w:p w14:paraId="136570AD" w14:textId="77777777" w:rsidR="00637E85" w:rsidRDefault="00000000">
      <w:pPr>
        <w:pStyle w:val="FirstParagraph"/>
      </w:pPr>
      <w:r>
        <w:t>Risposta: Sì. Per gli impianti di controllo accessi ZTL il DPR 250/1999 prevede che non sia necessaria la presenza continua degli organi di polizia durante il funzionamento dell’impianto.</w:t>
      </w:r>
    </w:p>
    <w:p w14:paraId="35A0665A" w14:textId="77777777" w:rsidR="00637E85" w:rsidRDefault="00000000">
      <w:pPr>
        <w:pStyle w:val="Corpotesto"/>
      </w:pPr>
      <w:r>
        <w:rPr>
          <w:b/>
          <w:bCs/>
        </w:rPr>
        <w:t>Fonte:</w:t>
      </w:r>
    </w:p>
    <w:p w14:paraId="65836BCD" w14:textId="77777777" w:rsidR="00637E85" w:rsidRDefault="00000000">
      <w:pPr>
        <w:pStyle w:val="Compact"/>
        <w:numPr>
          <w:ilvl w:val="0"/>
          <w:numId w:val="4"/>
        </w:numPr>
      </w:pPr>
      <w:r>
        <w:t>DPR 250/1999, art. 5 - Modalità di esercizio degli impianti</w:t>
      </w:r>
    </w:p>
    <w:p w14:paraId="7DCB80E5" w14:textId="77777777" w:rsidR="00637E85" w:rsidRDefault="00000000">
      <w:r>
        <w:pict w14:anchorId="1CF03FEB">
          <v:rect id="_x0000_i1027" style="width:0;height:1.5pt" o:hralign="center" o:hrstd="t" o:hr="t"/>
        </w:pict>
      </w:r>
    </w:p>
    <w:p w14:paraId="031CC0D7" w14:textId="77777777" w:rsidR="00637E85" w:rsidRDefault="00000000">
      <w:pPr>
        <w:pStyle w:val="Titolo2"/>
      </w:pPr>
      <w:bookmarkStart w:id="4" w:name="Xbd0602ad18ab5034b0369afddad3f6e80692ffd"/>
      <w:bookmarkEnd w:id="3"/>
      <w:r>
        <w:t>Domanda: Chi è responsabile dell’accertamento e dell’emissione delle sanzioni?</w:t>
      </w:r>
    </w:p>
    <w:p w14:paraId="011E9E19" w14:textId="77777777" w:rsidR="00637E85" w:rsidRDefault="00000000">
      <w:pPr>
        <w:pStyle w:val="FirstParagraph"/>
      </w:pPr>
      <w:r>
        <w:t>Risposta: La gestione degli impianti e degli accertamenti è attribuita agli organi di polizia stradale competenti.</w:t>
      </w:r>
    </w:p>
    <w:p w14:paraId="0EA3DC16" w14:textId="77777777" w:rsidR="00637E85" w:rsidRDefault="00000000">
      <w:pPr>
        <w:pStyle w:val="Corpotesto"/>
      </w:pPr>
      <w:r>
        <w:rPr>
          <w:b/>
          <w:bCs/>
        </w:rPr>
        <w:t>Fonte:</w:t>
      </w:r>
    </w:p>
    <w:p w14:paraId="3F3EE88A" w14:textId="77777777" w:rsidR="00637E85" w:rsidRDefault="00000000">
      <w:pPr>
        <w:pStyle w:val="Compact"/>
        <w:numPr>
          <w:ilvl w:val="0"/>
          <w:numId w:val="5"/>
        </w:numPr>
      </w:pPr>
      <w:r>
        <w:lastRenderedPageBreak/>
        <w:t>DPR 250/1999, art. 5</w:t>
      </w:r>
    </w:p>
    <w:p w14:paraId="6B6BD7D1" w14:textId="77777777" w:rsidR="00637E85" w:rsidRDefault="00000000">
      <w:pPr>
        <w:pStyle w:val="Compact"/>
        <w:numPr>
          <w:ilvl w:val="0"/>
          <w:numId w:val="5"/>
        </w:numPr>
      </w:pPr>
      <w:r>
        <w:t>Art. 12 Codice della Strada (organi di polizia stradale)</w:t>
      </w:r>
    </w:p>
    <w:p w14:paraId="23436F9A" w14:textId="77777777" w:rsidR="00637E85" w:rsidRDefault="00000000">
      <w:r>
        <w:pict w14:anchorId="47D0D4D1">
          <v:rect id="_x0000_i1028" style="width:0;height:1.5pt" o:hralign="center" o:hrstd="t" o:hr="t"/>
        </w:pict>
      </w:r>
    </w:p>
    <w:p w14:paraId="6D1D3864" w14:textId="77777777" w:rsidR="00637E85" w:rsidRDefault="00000000">
      <w:pPr>
        <w:pStyle w:val="Titolo2"/>
      </w:pPr>
      <w:bookmarkStart w:id="5" w:name="X41e5b2e05f652b15b584ad23cfd928db30ba71b"/>
      <w:bookmarkEnd w:id="4"/>
      <w:r>
        <w:t>Domanda: Il sistema può rilevare automaticamente le targhe?</w:t>
      </w:r>
    </w:p>
    <w:p w14:paraId="15093F2E" w14:textId="77777777" w:rsidR="00637E85" w:rsidRDefault="00000000">
      <w:pPr>
        <w:pStyle w:val="FirstParagraph"/>
      </w:pPr>
      <w:r>
        <w:t>Risposta: I sistemi autorizzati per il controllo accessi ZTL rilevano l’identificazione dei veicoli in ingresso ai fini dell’accertamento delle violazioni.</w:t>
      </w:r>
    </w:p>
    <w:p w14:paraId="1EC97C17" w14:textId="77777777" w:rsidR="00637E85" w:rsidRDefault="00000000">
      <w:pPr>
        <w:pStyle w:val="Corpotesto"/>
      </w:pPr>
      <w:r>
        <w:rPr>
          <w:b/>
          <w:bCs/>
        </w:rPr>
        <w:t>Fonte:</w:t>
      </w:r>
    </w:p>
    <w:p w14:paraId="32AA308F" w14:textId="77777777" w:rsidR="00637E85" w:rsidRDefault="00000000">
      <w:pPr>
        <w:pStyle w:val="Compact"/>
        <w:numPr>
          <w:ilvl w:val="0"/>
          <w:numId w:val="6"/>
        </w:numPr>
      </w:pPr>
      <w:r>
        <w:t>DPR 250/1999, art. 3 - Rilevazione e utilizzazione dei dati</w:t>
      </w:r>
    </w:p>
    <w:p w14:paraId="4615AC40" w14:textId="77777777" w:rsidR="00637E85" w:rsidRDefault="00000000">
      <w:r>
        <w:pict w14:anchorId="3181237A">
          <v:rect id="_x0000_i1029" style="width:0;height:1.5pt" o:hralign="center" o:hrstd="t" o:hr="t"/>
        </w:pict>
      </w:r>
    </w:p>
    <w:p w14:paraId="487DE5F8" w14:textId="77777777" w:rsidR="00637E85" w:rsidRDefault="00000000">
      <w:pPr>
        <w:pStyle w:val="Titolo2"/>
      </w:pPr>
      <w:bookmarkStart w:id="6" w:name="Xd1aaa5b92e70bc2d8d7cde6b834dcc314aece9d"/>
      <w:bookmarkEnd w:id="5"/>
      <w:r>
        <w:t>Domanda: Le immagini vengono registrate sempre?</w:t>
      </w:r>
    </w:p>
    <w:p w14:paraId="20EC4951" w14:textId="77777777" w:rsidR="00637E85" w:rsidRDefault="00000000">
      <w:pPr>
        <w:pStyle w:val="FirstParagraph"/>
      </w:pPr>
      <w:r>
        <w:t>Risposta: No. Per gli impianti ZTL il DPR 250/1999 prevede che la registrazione delle immagini avvenga esclusivamente in caso di infrazione.</w:t>
      </w:r>
    </w:p>
    <w:p w14:paraId="23C56352" w14:textId="77777777" w:rsidR="00637E85" w:rsidRDefault="00000000">
      <w:pPr>
        <w:pStyle w:val="Corpotesto"/>
      </w:pPr>
      <w:r>
        <w:rPr>
          <w:b/>
          <w:bCs/>
        </w:rPr>
        <w:t>Fonte:</w:t>
      </w:r>
    </w:p>
    <w:p w14:paraId="668011C9" w14:textId="77777777" w:rsidR="00637E85" w:rsidRDefault="00000000">
      <w:pPr>
        <w:pStyle w:val="Compact"/>
        <w:numPr>
          <w:ilvl w:val="0"/>
          <w:numId w:val="7"/>
        </w:numPr>
      </w:pPr>
      <w:r>
        <w:t>DPR 250/1999, art. 3</w:t>
      </w:r>
    </w:p>
    <w:p w14:paraId="5A37336B" w14:textId="77777777" w:rsidR="00637E85" w:rsidRDefault="00000000">
      <w:r>
        <w:pict w14:anchorId="423AD916">
          <v:rect id="_x0000_i1030" style="width:0;height:1.5pt" o:hralign="center" o:hrstd="t" o:hr="t"/>
        </w:pict>
      </w:r>
    </w:p>
    <w:p w14:paraId="12BC8330" w14:textId="77777777" w:rsidR="00637E85" w:rsidRDefault="00000000">
      <w:pPr>
        <w:pStyle w:val="Titolo2"/>
      </w:pPr>
      <w:bookmarkStart w:id="7" w:name="X29c7eb0cad39c11f3d9f4b9496f9734262f569d"/>
      <w:bookmarkEnd w:id="6"/>
      <w:r>
        <w:t>Domanda: Per quanto tempo vengono conservati i dati?</w:t>
      </w:r>
    </w:p>
    <w:p w14:paraId="650190D1" w14:textId="77777777" w:rsidR="00637E85" w:rsidRDefault="00000000">
      <w:pPr>
        <w:pStyle w:val="FirstParagraph"/>
      </w:pPr>
      <w:r>
        <w:t>Risposta: I dati devono essere conservati esclusivamente per il tempo necessario alla contestazione della violazione, alla definizione del procedimento sanzionatorio e dell’eventuale contenzioso.</w:t>
      </w:r>
    </w:p>
    <w:p w14:paraId="081D8D9A" w14:textId="77777777" w:rsidR="00637E85" w:rsidRDefault="00000000">
      <w:pPr>
        <w:pStyle w:val="Corpotesto"/>
      </w:pPr>
      <w:r>
        <w:rPr>
          <w:b/>
          <w:bCs/>
        </w:rPr>
        <w:t>Fonte:</w:t>
      </w:r>
    </w:p>
    <w:p w14:paraId="70CE0118" w14:textId="77777777" w:rsidR="00637E85" w:rsidRDefault="00000000">
      <w:pPr>
        <w:pStyle w:val="Compact"/>
        <w:numPr>
          <w:ilvl w:val="0"/>
          <w:numId w:val="8"/>
        </w:numPr>
      </w:pPr>
      <w:r>
        <w:t>DPR 250/1999, art. 3</w:t>
      </w:r>
    </w:p>
    <w:p w14:paraId="2A0CDFBE" w14:textId="77777777" w:rsidR="00637E85" w:rsidRDefault="00000000">
      <w:r>
        <w:pict w14:anchorId="66A6EBB2">
          <v:rect id="_x0000_i1031" style="width:0;height:1.5pt" o:hralign="center" o:hrstd="t" o:hr="t"/>
        </w:pict>
      </w:r>
    </w:p>
    <w:p w14:paraId="4AF056C3" w14:textId="77777777" w:rsidR="00637E85" w:rsidRDefault="00000000">
      <w:pPr>
        <w:pStyle w:val="Titolo2"/>
      </w:pPr>
      <w:bookmarkStart w:id="8" w:name="Xebd5e1cc22bb922bed76cebbfa222e6fee0aeeb"/>
      <w:bookmarkEnd w:id="7"/>
      <w:r>
        <w:t>Domanda: Chi è responsabile del trattamento dei dati?</w:t>
      </w:r>
    </w:p>
    <w:p w14:paraId="013D4F69" w14:textId="77777777" w:rsidR="00637E85" w:rsidRDefault="00000000">
      <w:pPr>
        <w:pStyle w:val="FirstParagraph"/>
      </w:pPr>
      <w:r>
        <w:t>Risposta: Il Sindaco nomina un responsabile della gestione del trattamento dei dati rilevati dagli impianti.</w:t>
      </w:r>
    </w:p>
    <w:p w14:paraId="281C1715" w14:textId="77777777" w:rsidR="00637E85" w:rsidRDefault="00000000">
      <w:pPr>
        <w:pStyle w:val="Corpotesto"/>
      </w:pPr>
      <w:r>
        <w:rPr>
          <w:b/>
          <w:bCs/>
        </w:rPr>
        <w:t>Fonte:</w:t>
      </w:r>
    </w:p>
    <w:p w14:paraId="58AE535A" w14:textId="77777777" w:rsidR="00637E85" w:rsidRDefault="00000000">
      <w:pPr>
        <w:pStyle w:val="Compact"/>
        <w:numPr>
          <w:ilvl w:val="0"/>
          <w:numId w:val="9"/>
        </w:numPr>
      </w:pPr>
      <w:r>
        <w:t>DPR 250/1999, art. 4</w:t>
      </w:r>
    </w:p>
    <w:p w14:paraId="32C0770E" w14:textId="77777777" w:rsidR="00637E85" w:rsidRDefault="00000000">
      <w:r>
        <w:pict w14:anchorId="2CACE92D">
          <v:rect id="_x0000_i1032" style="width:0;height:1.5pt" o:hralign="center" o:hrstd="t" o:hr="t"/>
        </w:pict>
      </w:r>
    </w:p>
    <w:p w14:paraId="1CA41DAB" w14:textId="77777777" w:rsidR="00637E85" w:rsidRDefault="00000000">
      <w:pPr>
        <w:pStyle w:val="Titolo2"/>
      </w:pPr>
      <w:bookmarkStart w:id="9" w:name="X3be32a80394e9241fee12825bf3b5f5dc1b0424"/>
      <w:bookmarkEnd w:id="8"/>
      <w:r>
        <w:t>Domanda: I sistemi ZTL possono essere collegati ad altre banche dati?</w:t>
      </w:r>
    </w:p>
    <w:p w14:paraId="5F12EAD5" w14:textId="77777777" w:rsidR="00637E85" w:rsidRDefault="00000000">
      <w:pPr>
        <w:pStyle w:val="FirstParagraph"/>
      </w:pPr>
      <w:r>
        <w:t>Risposta: Il DPR 250/1999 stabilisce che gli impianti non devono essere interconnessi con altri archivi o banche dati.</w:t>
      </w:r>
    </w:p>
    <w:p w14:paraId="73C7D2AE" w14:textId="77777777" w:rsidR="00637E85" w:rsidRDefault="00000000">
      <w:pPr>
        <w:pStyle w:val="Corpotesto"/>
      </w:pPr>
      <w:r>
        <w:rPr>
          <w:b/>
          <w:bCs/>
        </w:rPr>
        <w:lastRenderedPageBreak/>
        <w:t>Fonte:</w:t>
      </w:r>
    </w:p>
    <w:p w14:paraId="53EA4D3A" w14:textId="77777777" w:rsidR="00637E85" w:rsidRDefault="00000000">
      <w:pPr>
        <w:pStyle w:val="Compact"/>
        <w:numPr>
          <w:ilvl w:val="0"/>
          <w:numId w:val="10"/>
        </w:numPr>
      </w:pPr>
      <w:r>
        <w:t>DPR 250/1999, art. 5</w:t>
      </w:r>
    </w:p>
    <w:p w14:paraId="5EA19930" w14:textId="77777777" w:rsidR="00637E85" w:rsidRDefault="00000000">
      <w:r>
        <w:pict w14:anchorId="007A3134">
          <v:rect id="_x0000_i1033" style="width:0;height:1.5pt" o:hralign="center" o:hrstd="t" o:hr="t"/>
        </w:pict>
      </w:r>
    </w:p>
    <w:p w14:paraId="787EAE96" w14:textId="77777777" w:rsidR="00637E85" w:rsidRDefault="00000000">
      <w:pPr>
        <w:pStyle w:val="Titolo2"/>
      </w:pPr>
      <w:bookmarkStart w:id="10" w:name="X27e2bf639901e39f02b8cdb5c122f2a809903a3"/>
      <w:bookmarkEnd w:id="9"/>
      <w:r>
        <w:t>Domanda: È obbligatorio richiedere un’autorizzazione ministeriale per il controllo automatico degli accessi ZTL?</w:t>
      </w:r>
    </w:p>
    <w:p w14:paraId="2EFC9CC4" w14:textId="77777777" w:rsidR="00637E85" w:rsidRDefault="00000000">
      <w:pPr>
        <w:pStyle w:val="FirstParagraph"/>
      </w:pPr>
      <w:r>
        <w:t>Risposta: Sì. I Comuni devono richiedere specifica autorizzazione al Ministero per l’installazione e l’esercizio degli impianti.</w:t>
      </w:r>
    </w:p>
    <w:p w14:paraId="2C16D0D0" w14:textId="77777777" w:rsidR="00637E85" w:rsidRDefault="00000000">
      <w:pPr>
        <w:pStyle w:val="Corpotesto"/>
      </w:pPr>
      <w:r>
        <w:rPr>
          <w:b/>
          <w:bCs/>
        </w:rPr>
        <w:t>Fonte:</w:t>
      </w:r>
    </w:p>
    <w:p w14:paraId="02558B97" w14:textId="77777777" w:rsidR="00637E85" w:rsidRDefault="00000000">
      <w:pPr>
        <w:pStyle w:val="Compact"/>
        <w:numPr>
          <w:ilvl w:val="0"/>
          <w:numId w:val="11"/>
        </w:numPr>
      </w:pPr>
      <w:r>
        <w:t>DPR 250/1999, art. 1</w:t>
      </w:r>
    </w:p>
    <w:p w14:paraId="26D8D309" w14:textId="77777777" w:rsidR="00637E85" w:rsidRDefault="00000000">
      <w:r>
        <w:pict w14:anchorId="6ABE40CD">
          <v:rect id="_x0000_i1034" style="width:0;height:1.5pt" o:hralign="center" o:hrstd="t" o:hr="t"/>
        </w:pict>
      </w:r>
    </w:p>
    <w:p w14:paraId="6724B611" w14:textId="77777777" w:rsidR="00637E85" w:rsidRDefault="00000000">
      <w:pPr>
        <w:pStyle w:val="Titolo2"/>
      </w:pPr>
      <w:bookmarkStart w:id="11" w:name="Xfce29546261ce54524f545ec4b26b5029ffa896"/>
      <w:bookmarkEnd w:id="10"/>
      <w:r>
        <w:t>Domanda: Quale segnaletica deve essere installata presso una ZTL?</w:t>
      </w:r>
    </w:p>
    <w:p w14:paraId="0669AB0E" w14:textId="77777777" w:rsidR="00637E85" w:rsidRDefault="00000000">
      <w:pPr>
        <w:pStyle w:val="FirstParagraph"/>
      </w:pPr>
      <w:r>
        <w:t>Risposta: La segnaletica deve essere chiara, coerente, standardizzata e comprendere segnaletica di preavviso e di varco.</w:t>
      </w:r>
    </w:p>
    <w:p w14:paraId="1ED3FBC0" w14:textId="77777777" w:rsidR="00637E85" w:rsidRDefault="00000000">
      <w:pPr>
        <w:pStyle w:val="Corpotesto"/>
      </w:pPr>
      <w:r>
        <w:rPr>
          <w:b/>
          <w:bCs/>
        </w:rPr>
        <w:t>Fonte:</w:t>
      </w:r>
    </w:p>
    <w:p w14:paraId="456DA90D" w14:textId="77777777" w:rsidR="00637E85" w:rsidRDefault="00000000">
      <w:pPr>
        <w:pStyle w:val="Compact"/>
        <w:numPr>
          <w:ilvl w:val="0"/>
          <w:numId w:val="12"/>
        </w:numPr>
      </w:pPr>
      <w:r>
        <w:t>Linee Guida MIT per le ZTL (2019)</w:t>
      </w:r>
    </w:p>
    <w:p w14:paraId="1AFB2952" w14:textId="77777777" w:rsidR="00637E85" w:rsidRDefault="00000000">
      <w:pPr>
        <w:pStyle w:val="Compact"/>
        <w:numPr>
          <w:ilvl w:val="0"/>
          <w:numId w:val="12"/>
        </w:numPr>
      </w:pPr>
      <w:r>
        <w:t>Capitolo 4 “Segnaletica”</w:t>
      </w:r>
    </w:p>
    <w:p w14:paraId="306D0136" w14:textId="77777777" w:rsidR="00637E85" w:rsidRDefault="00000000">
      <w:r>
        <w:pict w14:anchorId="1FC8D90F">
          <v:rect id="_x0000_i1035" style="width:0;height:1.5pt" o:hralign="center" o:hrstd="t" o:hr="t"/>
        </w:pict>
      </w:r>
    </w:p>
    <w:p w14:paraId="60D446F6" w14:textId="77777777" w:rsidR="00637E85" w:rsidRDefault="00000000">
      <w:pPr>
        <w:pStyle w:val="Titolo2"/>
      </w:pPr>
      <w:bookmarkStart w:id="12" w:name="Xbde60b0bd0d8edf8e8b1a7fbea0767e05e05403"/>
      <w:bookmarkEnd w:id="11"/>
      <w:r>
        <w:t>Domanda: È necessario prevedere percorsi alternativi per gli utenti non autorizzati?</w:t>
      </w:r>
    </w:p>
    <w:p w14:paraId="4AB33D1C" w14:textId="77777777" w:rsidR="00637E85" w:rsidRDefault="00000000">
      <w:pPr>
        <w:pStyle w:val="FirstParagraph"/>
      </w:pPr>
      <w:r>
        <w:t>Risposta: Sì. Le Linee Guida MIT prevedono che siano adeguatamente segnalati percorsi consentiti e almeno una via di fuga per i veicoli non autorizzati.</w:t>
      </w:r>
    </w:p>
    <w:p w14:paraId="593C2AAB" w14:textId="77777777" w:rsidR="00637E85" w:rsidRDefault="00000000">
      <w:pPr>
        <w:pStyle w:val="Corpotesto"/>
      </w:pPr>
      <w:r>
        <w:rPr>
          <w:b/>
          <w:bCs/>
        </w:rPr>
        <w:t>Fonte:</w:t>
      </w:r>
    </w:p>
    <w:p w14:paraId="743DD79B" w14:textId="77777777" w:rsidR="00637E85" w:rsidRDefault="00000000">
      <w:pPr>
        <w:pStyle w:val="Compact"/>
        <w:numPr>
          <w:ilvl w:val="0"/>
          <w:numId w:val="13"/>
        </w:numPr>
      </w:pPr>
      <w:r>
        <w:t>Linee Guida MIT ZTL 2019</w:t>
      </w:r>
    </w:p>
    <w:p w14:paraId="03854E52" w14:textId="77777777" w:rsidR="00637E85" w:rsidRDefault="00000000">
      <w:r>
        <w:pict w14:anchorId="773BD88E">
          <v:rect id="_x0000_i1036" style="width:0;height:1.5pt" o:hralign="center" o:hrstd="t" o:hr="t"/>
        </w:pict>
      </w:r>
    </w:p>
    <w:p w14:paraId="2C1A60C1" w14:textId="77777777" w:rsidR="00637E85" w:rsidRDefault="00000000">
      <w:pPr>
        <w:pStyle w:val="Titolo2"/>
      </w:pPr>
      <w:bookmarkStart w:id="13" w:name="Xfbbbeabab38b28eb93990d03f4891436b4feda1"/>
      <w:bookmarkEnd w:id="12"/>
      <w:r>
        <w:t>Domanda: È possibile utilizzare i dati rilevati per finalità diverse dalla sanzione?</w:t>
      </w:r>
    </w:p>
    <w:p w14:paraId="0AFE921A" w14:textId="77777777" w:rsidR="00637E85" w:rsidRDefault="00000000">
      <w:pPr>
        <w:pStyle w:val="FirstParagraph"/>
      </w:pPr>
      <w:r>
        <w:t>Risposta: Solo nei casi espressamente previsti dalla normativa.</w:t>
      </w:r>
    </w:p>
    <w:p w14:paraId="63379595" w14:textId="77777777" w:rsidR="00637E85" w:rsidRDefault="00000000">
      <w:pPr>
        <w:pStyle w:val="Corpotesto"/>
      </w:pPr>
      <w:r>
        <w:rPr>
          <w:b/>
          <w:bCs/>
        </w:rPr>
        <w:t>Fonte:</w:t>
      </w:r>
    </w:p>
    <w:p w14:paraId="6672606D" w14:textId="77777777" w:rsidR="00637E85" w:rsidRDefault="00000000">
      <w:pPr>
        <w:pStyle w:val="Compact"/>
        <w:numPr>
          <w:ilvl w:val="0"/>
          <w:numId w:val="14"/>
        </w:numPr>
      </w:pPr>
      <w:r>
        <w:t>DPR 250/1999, art. 6 - Utilizzazione dati per altre finalità</w:t>
      </w:r>
    </w:p>
    <w:p w14:paraId="4CEA13A2" w14:textId="77777777" w:rsidR="00637E85" w:rsidRDefault="00000000">
      <w:r>
        <w:pict w14:anchorId="4DEFC40F">
          <v:rect id="_x0000_i1037" style="width:0;height:1.5pt" o:hralign="center" o:hrstd="t" o:hr="t"/>
        </w:pict>
      </w:r>
    </w:p>
    <w:p w14:paraId="4B00061E" w14:textId="77777777" w:rsidR="00637E85" w:rsidRDefault="00000000">
      <w:pPr>
        <w:pStyle w:val="Titolo2"/>
      </w:pPr>
      <w:bookmarkStart w:id="14" w:name="X15b024c896ed816c77a8177883e67b07b7eb55a"/>
      <w:bookmarkEnd w:id="13"/>
      <w:r>
        <w:lastRenderedPageBreak/>
        <w:t>Domanda: Le verifiche e le tarature dei dispositivi sono obbligatorie?</w:t>
      </w:r>
    </w:p>
    <w:p w14:paraId="5AF785B0" w14:textId="77777777" w:rsidR="00637E85" w:rsidRDefault="00000000">
      <w:pPr>
        <w:pStyle w:val="FirstParagraph"/>
      </w:pPr>
      <w:r>
        <w:t>Risposta: Sì. Ad esempio il decreto di approvazione del sistema EnVESRed prevede verifiche e tarature almeno annuali e la conservazione della documentazione per cinque anni.</w:t>
      </w:r>
    </w:p>
    <w:p w14:paraId="64D09424" w14:textId="77777777" w:rsidR="00637E85" w:rsidRDefault="00000000">
      <w:pPr>
        <w:pStyle w:val="Corpotesto"/>
      </w:pPr>
      <w:r>
        <w:rPr>
          <w:b/>
          <w:bCs/>
        </w:rPr>
        <w:t>Fonte:</w:t>
      </w:r>
    </w:p>
    <w:p w14:paraId="30D015CD" w14:textId="77777777" w:rsidR="00637E85" w:rsidRDefault="00000000">
      <w:pPr>
        <w:pStyle w:val="Compact"/>
        <w:numPr>
          <w:ilvl w:val="0"/>
          <w:numId w:val="15"/>
        </w:numPr>
      </w:pPr>
      <w:r>
        <w:t>Decreto MIT n. 31500 - EnVESRed</w:t>
      </w:r>
    </w:p>
    <w:p w14:paraId="39E12274" w14:textId="77777777" w:rsidR="00637E85" w:rsidRDefault="00000000">
      <w:r>
        <w:pict w14:anchorId="024152B0">
          <v:rect id="_x0000_i1038" style="width:0;height:1.5pt" o:hralign="center" o:hrstd="t" o:hr="t"/>
        </w:pict>
      </w:r>
    </w:p>
    <w:p w14:paraId="0CF392D6" w14:textId="77777777" w:rsidR="00637E85" w:rsidRDefault="00000000">
      <w:pPr>
        <w:pStyle w:val="Titolo2"/>
      </w:pPr>
      <w:bookmarkStart w:id="15" w:name="X58e06c89b317c5732a208670d01d35b19de4efd"/>
      <w:bookmarkEnd w:id="14"/>
      <w:r>
        <w:t>Domanda: I dispositivi installati devono essere conformi al prototipo depositato presso il Ministero?</w:t>
      </w:r>
    </w:p>
    <w:p w14:paraId="7754D549" w14:textId="77777777" w:rsidR="00637E85" w:rsidRDefault="00000000">
      <w:pPr>
        <w:pStyle w:val="FirstParagraph"/>
      </w:pPr>
      <w:r>
        <w:t>Risposta: Sì. I decreti ministeriali prevedono che i dispositivi commercializzati corrispondano al campione depositato presso il Ministero.</w:t>
      </w:r>
    </w:p>
    <w:p w14:paraId="0C873E8B" w14:textId="77777777" w:rsidR="00637E85" w:rsidRDefault="00000000">
      <w:pPr>
        <w:pStyle w:val="Corpotesto"/>
      </w:pPr>
      <w:r>
        <w:rPr>
          <w:b/>
          <w:bCs/>
        </w:rPr>
        <w:t>Fonte:</w:t>
      </w:r>
    </w:p>
    <w:p w14:paraId="3B771910" w14:textId="77777777" w:rsidR="00637E85" w:rsidRDefault="00000000">
      <w:pPr>
        <w:pStyle w:val="Compact"/>
        <w:numPr>
          <w:ilvl w:val="0"/>
          <w:numId w:val="16"/>
        </w:numPr>
      </w:pPr>
      <w:r>
        <w:t>Decreto MIT n. 31500 EnVESRed</w:t>
      </w:r>
    </w:p>
    <w:p w14:paraId="630947FD" w14:textId="77777777" w:rsidR="00637E85" w:rsidRDefault="00000000">
      <w:pPr>
        <w:pStyle w:val="Compact"/>
        <w:numPr>
          <w:ilvl w:val="0"/>
          <w:numId w:val="16"/>
        </w:numPr>
      </w:pPr>
      <w:r>
        <w:t>DPR 250/1999 art. 7 e 8</w:t>
      </w:r>
    </w:p>
    <w:p w14:paraId="761B9231" w14:textId="77777777" w:rsidR="00637E85" w:rsidRDefault="00000000">
      <w:r>
        <w:pict w14:anchorId="1F0DD83F">
          <v:rect id="_x0000_i1039" style="width:0;height:1.5pt" o:hralign="center" o:hrstd="t" o:hr="t"/>
        </w:pict>
      </w:r>
    </w:p>
    <w:p w14:paraId="1AC4677A" w14:textId="77777777" w:rsidR="00637E85" w:rsidRDefault="00000000">
      <w:pPr>
        <w:pStyle w:val="Titolo2"/>
      </w:pPr>
      <w:bookmarkStart w:id="16" w:name="Xfea6ccc33ab6c50140386d4b9d3b87e8de2dd6c"/>
      <w:bookmarkEnd w:id="15"/>
      <w:r>
        <w:t>Domanda: Quanti sistemi di controllo della velocità Engine risultano presenti in Italia?</w:t>
      </w:r>
    </w:p>
    <w:p w14:paraId="7BC26897" w14:textId="77777777" w:rsidR="00637E85" w:rsidRDefault="00000000">
      <w:pPr>
        <w:pStyle w:val="FirstParagraph"/>
      </w:pPr>
      <w:r>
        <w:t>Risposta: Nel dataset disponibile risultano 582 installazioni censite di dispositivi attribuiti a Engine S.p.A.</w:t>
      </w:r>
    </w:p>
    <w:p w14:paraId="6C336EAD" w14:textId="77777777" w:rsidR="00637E85" w:rsidRDefault="00000000">
      <w:pPr>
        <w:pStyle w:val="Corpotesto"/>
      </w:pPr>
      <w:r>
        <w:rPr>
          <w:b/>
          <w:bCs/>
        </w:rPr>
        <w:t>Fonte:</w:t>
      </w:r>
    </w:p>
    <w:p w14:paraId="0C29CC93" w14:textId="77777777" w:rsidR="00637E85" w:rsidRDefault="00000000">
      <w:pPr>
        <w:pStyle w:val="Compact"/>
        <w:numPr>
          <w:ilvl w:val="0"/>
          <w:numId w:val="17"/>
        </w:numPr>
      </w:pPr>
      <w:r>
        <w:t>Elenco autovelox per produttore</w:t>
      </w:r>
      <w:bookmarkEnd w:id="0"/>
      <w:bookmarkEnd w:id="16"/>
    </w:p>
    <w:sectPr w:rsidR="00637E85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CFE5D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0624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7574751">
    <w:abstractNumId w:val="0"/>
  </w:num>
  <w:num w:numId="2" w16cid:durableId="971129054">
    <w:abstractNumId w:val="1"/>
  </w:num>
  <w:num w:numId="3" w16cid:durableId="1132020984">
    <w:abstractNumId w:val="1"/>
  </w:num>
  <w:num w:numId="4" w16cid:durableId="1347488620">
    <w:abstractNumId w:val="1"/>
  </w:num>
  <w:num w:numId="5" w16cid:durableId="1627933968">
    <w:abstractNumId w:val="1"/>
  </w:num>
  <w:num w:numId="6" w16cid:durableId="269164490">
    <w:abstractNumId w:val="1"/>
  </w:num>
  <w:num w:numId="7" w16cid:durableId="2044863436">
    <w:abstractNumId w:val="1"/>
  </w:num>
  <w:num w:numId="8" w16cid:durableId="140466293">
    <w:abstractNumId w:val="1"/>
  </w:num>
  <w:num w:numId="9" w16cid:durableId="590892121">
    <w:abstractNumId w:val="1"/>
  </w:num>
  <w:num w:numId="10" w16cid:durableId="690572437">
    <w:abstractNumId w:val="1"/>
  </w:num>
  <w:num w:numId="11" w16cid:durableId="1668947219">
    <w:abstractNumId w:val="1"/>
  </w:num>
  <w:num w:numId="12" w16cid:durableId="29499164">
    <w:abstractNumId w:val="1"/>
  </w:num>
  <w:num w:numId="13" w16cid:durableId="1502116892">
    <w:abstractNumId w:val="1"/>
  </w:num>
  <w:num w:numId="14" w16cid:durableId="1632633888">
    <w:abstractNumId w:val="1"/>
  </w:num>
  <w:num w:numId="15" w16cid:durableId="102384523">
    <w:abstractNumId w:val="1"/>
  </w:num>
  <w:num w:numId="16" w16cid:durableId="1174227517">
    <w:abstractNumId w:val="1"/>
  </w:num>
  <w:num w:numId="17" w16cid:durableId="1028413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7E85"/>
    <w:rsid w:val="00637E85"/>
    <w:rsid w:val="008D5C51"/>
    <w:rsid w:val="0093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58828"/>
  <w15:docId w15:val="{82078E6A-8BC1-49AB-801C-200FC4F3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6CE977B3EAAB458E60A8774F651A3F" ma:contentTypeVersion="7" ma:contentTypeDescription="Creare un nuovo documento." ma:contentTypeScope="" ma:versionID="03dc91ab0b08e3d21634f72c5e1dbc1d">
  <xsd:schema xmlns:xsd="http://www.w3.org/2001/XMLSchema" xmlns:xs="http://www.w3.org/2001/XMLSchema" xmlns:p="http://schemas.microsoft.com/office/2006/metadata/properties" xmlns:ns2="d2170dec-baca-4366-bc3d-4cc9e42af84f" targetNamespace="http://schemas.microsoft.com/office/2006/metadata/properties" ma:root="true" ma:fieldsID="91215701592cb3311556d0ebe8c3aa04" ns2:_="">
    <xsd:import namespace="d2170dec-baca-4366-bc3d-4cc9e42af8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70dec-baca-4366-bc3d-4cc9e42af8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6A8B73-2C1E-44E8-B21A-AC1EFCABC81A}"/>
</file>

<file path=customXml/itemProps2.xml><?xml version="1.0" encoding="utf-8"?>
<ds:datastoreItem xmlns:ds="http://schemas.openxmlformats.org/officeDocument/2006/customXml" ds:itemID="{3FD24885-21BC-4051-8D7D-B756601C8A8E}"/>
</file>

<file path=customXml/itemProps3.xml><?xml version="1.0" encoding="utf-8"?>
<ds:datastoreItem xmlns:ds="http://schemas.openxmlformats.org/officeDocument/2006/customXml" ds:itemID="{02E00B10-29BD-4A4E-B40D-E250AFB782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Leonardo Anceschi</cp:lastModifiedBy>
  <cp:revision>2</cp:revision>
  <dcterms:created xsi:type="dcterms:W3CDTF">2026-06-06T12:25:00Z</dcterms:created>
  <dcterms:modified xsi:type="dcterms:W3CDTF">2026-06-06T12:26:00Z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0x010100796CE977B3EAAB458E60A8774F651A3F</vt:lpwstr>
  </property>
</Properties>
</file>