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480"/>
              <w:left w:type="dxa" w:w="560"/>
              <w:bottom w:type="dxa" w:w="480"/>
              <w:right w:type="dxa" w:w="5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UNIVERSO ZHY</w:t>
            </w:r>
          </w:p>
          <w:p>
            <w:pPr>
              <w:spacing w:before="80"/>
              <w:jc w:val="left"/>
            </w:pPr>
            <w:r>
              <w:rPr>
                <w:rFonts w:ascii="Arial" w:cs="Arial" w:eastAsia="Arial" w:hAnsi="Arial"/>
                <w:color w:val="D8F3DC"/>
                <w:sz w:val="24"/>
                <w:szCs w:val="24"/>
              </w:rPr>
              <w:t xml:space="preserve">Estratégia de Marca &amp; Portfólio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200" w:after="600"/>
        <w:jc w:val="center"/>
      </w:pPr>
      <w:r>
        <w:rPr>
          <w:rFonts w:ascii="Arial" w:cs="Arial" w:eastAsia="Arial" w:hAnsi="Arial"/>
          <w:i/>
          <w:iCs/>
          <w:color w:val="444444"/>
          <w:sz w:val="26"/>
          <w:szCs w:val="26"/>
        </w:rPr>
        <w:t xml:space="preserve">Marca de produtos funcionais baseada em cogumelos, focada em performance, bem-estar e prazer.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2B788" w:val="clear"/>
            <w:tcMar>
              <w:top w:type="dxa" w:w="160"/>
              <w:left w:type="dxa" w:w="400"/>
              <w:bottom w:type="dxa" w:w="160"/>
              <w:right w:type="dxa" w:w="4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26"/>
                <w:szCs w:val="26"/>
              </w:rPr>
              <w:t xml:space="preserve">01 — TESE CENTRAL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Zhy é uma marca de produtos funcionais baseada em cogumelos, focada em performance, bem-estar e prazer. O objetivo é criar a melhor versão possível de produtos cotidianos, integrando saúde, sabor e estética.</w:t>
      </w:r>
    </w:p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2B788" w:val="clear"/>
            <w:tcMar>
              <w:top w:type="dxa" w:w="160"/>
              <w:left w:type="dxa" w:w="400"/>
              <w:bottom w:type="dxa" w:w="160"/>
              <w:right w:type="dxa" w:w="4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26"/>
                <w:szCs w:val="26"/>
              </w:rPr>
              <w:t xml:space="preserve">02 — PRINCÍPIOS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Velocidade &gt; perfeição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Venda &gt; margem (no início)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Simplicidade operacional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Sem CAPEX desnecessário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Produto precisa ser gostoso — sem perfil medicinal</w:t>
      </w:r>
    </w:p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2B788" w:val="clear"/>
            <w:tcMar>
              <w:top w:type="dxa" w:w="160"/>
              <w:left w:type="dxa" w:w="400"/>
              <w:bottom w:type="dxa" w:w="160"/>
              <w:right w:type="dxa" w:w="4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26"/>
                <w:szCs w:val="26"/>
              </w:rPr>
              <w:t xml:space="preserve">03 — ARQUITETURA DE PORTFÓLIO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D8F3DC" w:sz="4" w:space="1"/>
        </w:pBdr>
        <w:spacing w:before="360" w:after="12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Fase 1 — Linha Fresca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Sucos prensados a frio (HPP)</w:t>
      </w:r>
    </w:p>
    <w:p>
      <w:pPr>
        <w:spacing w:before="80"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Objetivo: gerar volume, validar canal e introduzir cogumelos de forma leve.</w:t>
      </w:r>
    </w:p>
    <w:p>
      <w:pPr>
        <w:spacing w:before="0" w:after="0"/>
      </w:pPr>
      <w:r>
        <w:t xml:space="preserve"/>
      </w:r>
    </w:p>
    <w:p>
      <w:pPr>
        <w:pBdr>
          <w:bottom w:val="single" w:color="D8F3DC" w:sz="4" w:space="1"/>
        </w:pBdr>
        <w:spacing w:before="360" w:after="12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Fase 1 — Linha Café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Cápsulas compatíveis Nespresso</w:t>
      </w:r>
    </w:p>
    <w:p>
      <w:pPr>
        <w:spacing w:before="80"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Objetivo: entrada no ritual diário com alto potencial de recorrência.</w:t>
      </w:r>
    </w:p>
    <w:p>
      <w:pPr>
        <w:spacing w:before="0" w:after="0"/>
      </w:pPr>
      <w:r>
        <w:t xml:space="preserve"/>
      </w:r>
    </w:p>
    <w:p>
      <w:pPr>
        <w:pBdr>
          <w:bottom w:val="single" w:color="D8F3DC" w:sz="4" w:space="1"/>
        </w:pBdr>
        <w:spacing w:before="360" w:after="12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Fase 2 — Shots Funcionais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Imunidade / Digestão / Energia</w:t>
      </w:r>
    </w:p>
    <w:p>
      <w:pPr>
        <w:spacing w:before="0" w:after="0"/>
      </w:pPr>
      <w:r>
        <w:t xml:space="preserve"/>
      </w:r>
    </w:p>
    <w:p>
      <w:pPr>
        <w:pBdr>
          <w:bottom w:val="single" w:color="D8F3DC" w:sz="4" w:space="1"/>
        </w:pBdr>
        <w:spacing w:before="360" w:after="12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Fase 2 — Café Moído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Café moído com cogumelos funcionais</w:t>
      </w:r>
    </w:p>
    <w:p>
      <w:pPr>
        <w:spacing w:before="0" w:after="0"/>
      </w:pPr>
      <w:r>
        <w:t xml:space="preserve"/>
      </w:r>
    </w:p>
    <w:p>
      <w:pPr>
        <w:pBdr>
          <w:bottom w:val="single" w:color="D8F3DC" w:sz="4" w:space="1"/>
        </w:pBdr>
        <w:spacing w:before="360" w:after="12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Fase 3 — Linha Solúvel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Matcha · Cacau · Latte funcional</w:t>
      </w:r>
    </w:p>
    <w:p>
      <w:pPr>
        <w:spacing w:before="80"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Objetivo: margem alta, controle de produção, escalabilidade D2C.</w:t>
      </w:r>
    </w:p>
    <w:p>
      <w:pPr>
        <w:spacing w:before="0" w:after="0"/>
      </w:pPr>
      <w:r>
        <w:t xml:space="preserve"/>
      </w:r>
    </w:p>
    <w:p>
      <w:pPr>
        <w:pBdr>
          <w:bottom w:val="single" w:color="D8F3DC" w:sz="4" w:space="1"/>
        </w:pBdr>
        <w:spacing w:before="360" w:after="12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Fase 4 — RTD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3D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Rituais Funcionais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Ice Coffee · Ice Matcha · Ice Cacau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Prazer Funcional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Hibisco · Mate · Functional Soda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Objetivo: escala, presença em varejo, expansão de marca.</w:t>
      </w:r>
    </w:p>
    <w:p>
      <w:pPr>
        <w:spacing w:before="0" w:after="0"/>
      </w:pPr>
      <w:r>
        <w:t xml:space="preserve"/>
      </w:r>
    </w:p>
    <w:p>
      <w:pPr>
        <w:pBdr>
          <w:bottom w:val="single" w:color="D8F3DC" w:sz="4" w:space="1"/>
        </w:pBdr>
        <w:spacing w:before="360" w:after="12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Fase 5 — Suplementos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Blend diário · Cogumelos individuais · Proteína de micélio</w:t>
      </w:r>
    </w:p>
    <w:p>
      <w:pPr>
        <w:spacing w:before="80" w:after="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Objetivo: autoridade, ticket alto, recorrência.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2B788" w:val="clear"/>
            <w:tcMar>
              <w:top w:type="dxa" w:w="160"/>
              <w:left w:type="dxa" w:w="400"/>
              <w:bottom w:type="dxa" w:w="160"/>
              <w:right w:type="dxa" w:w="4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26"/>
                <w:szCs w:val="26"/>
              </w:rPr>
              <w:t xml:space="preserve">04 — ROADMAP DE LANÇAMENTO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 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3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Sucos (6 SKUs) + Cápsulas Nespresso — 0 a 2 meses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2B78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 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Shots (Imunidade / Digestão / Energia) + Café moído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 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3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Linha Solúvel — ~6 meses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2B78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 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RTD (latas)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 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3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Suplementos (depende ANVISA)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2B788" w:val="clear"/>
            <w:tcMar>
              <w:top w:type="dxa" w:w="160"/>
              <w:left w:type="dxa" w:w="400"/>
              <w:bottom w:type="dxa" w:w="160"/>
              <w:right w:type="dxa" w:w="4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26"/>
                <w:szCs w:val="26"/>
              </w:rPr>
              <w:t xml:space="preserve">05 — CANAIS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D8F3DC" w:sz="4" w:space="1"/>
        </w:pBdr>
        <w:spacing w:before="360" w:after="12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Primário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D2C — site próprio</w:t>
      </w:r>
    </w:p>
    <w:p>
      <w:pPr>
        <w:pBdr>
          <w:bottom w:val="single" w:color="D8F3DC" w:sz="4" w:space="1"/>
        </w:pBdr>
        <w:spacing w:before="360" w:after="12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Secundário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B2B — hotéis, cafés, academias, coworkings, varejo premium</w:t>
      </w:r>
    </w:p>
    <w:p>
      <w:pPr>
        <w:pBdr>
          <w:bottom w:val="single" w:color="D8F3DC" w:sz="4" w:space="1"/>
        </w:pBdr>
        <w:spacing w:before="360" w:after="12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Expansão Futura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Shoppings · Aeroportos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2B788" w:val="clear"/>
            <w:tcMar>
              <w:top w:type="dxa" w:w="160"/>
              <w:left w:type="dxa" w:w="400"/>
              <w:bottom w:type="dxa" w:w="160"/>
              <w:right w:type="dxa" w:w="4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26"/>
                <w:szCs w:val="26"/>
              </w:rPr>
              <w:t xml:space="preserve">06 — DIFERENCIAL COMPETITIVO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Todos os produtos com cogumelos funcionais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Integração entre saúde + prazer + estética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Portfólio completo — não produto único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Construção de marca lifestyle funcional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1B1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200"/>
      <w:outlineLvl w:val="0"/>
    </w:pPr>
    <w:rPr>
      <w:rFonts w:ascii="Arial" w:cs="Arial" w:eastAsia="Arial" w:hAnsi="Arial"/>
      <w:b/>
      <w:bCs/>
      <w:color w:val="FFFFFF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400" w:after="160"/>
      <w:outlineLvl w:val="1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300" w:after="120"/>
      <w:outlineLvl w:val="2"/>
    </w:pPr>
    <w:rPr>
      <w:rFonts w:ascii="Arial" w:cs="Arial" w:eastAsia="Arial" w:hAnsi="Arial"/>
      <w:b/>
      <w:bCs/>
      <w:color w:val="2D6A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2026-03-19T18:11:00.314Z</dcterms:created>
  <dcterms:modified xsi:type="dcterms:W3CDTF">2026-03-19T18:11:00.315Z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