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6A4F" w:val="clear"/>
            <w:tcMar>
              <w:top w:type="dxa" w:w="480"/>
              <w:left w:type="dxa" w:w="560"/>
              <w:bottom w:type="dxa" w:w="480"/>
              <w:right w:type="dxa" w:w="5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ZHY — PLANO OPERACIONAL</w:t>
            </w:r>
          </w:p>
          <w:p>
            <w:pPr>
              <w:spacing w:before="80"/>
              <w:jc w:val="left"/>
            </w:pPr>
            <w:r>
              <w:rPr>
                <w:rFonts w:ascii="Arial" w:cs="Arial" w:eastAsia="Arial" w:hAnsi="Arial"/>
                <w:color w:val="D8F3DC"/>
                <w:sz w:val="24"/>
                <w:szCs w:val="24"/>
              </w:rPr>
              <w:t xml:space="preserve">Roadmap por Fase · Dependências · Operação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2B788" w:val="clear"/>
            <w:tcMar>
              <w:top w:type="dxa" w:w="160"/>
              <w:left w:type="dxa" w:w="400"/>
              <w:bottom w:type="dxa" w:w="160"/>
              <w:right w:type="dxa" w:w="4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pacing w:val="40"/>
                <w:sz w:val="26"/>
                <w:szCs w:val="26"/>
              </w:rPr>
              <w:t xml:space="preserve">META 60 DIAS — FASE 1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4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6A4F" w:val="clear"/>
            <w:tcMar>
              <w:top w:type="dxa" w:w="240"/>
              <w:left w:type="dxa" w:w="240"/>
              <w:bottom w:type="dxa" w:w="24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5.000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8F3DC"/>
                <w:sz w:val="20"/>
                <w:szCs w:val="20"/>
              </w:rPr>
              <w:t xml:space="preserve">unidades vendidas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6A4F" w:val="clear"/>
            <w:tcMar>
              <w:top w:type="dxa" w:w="240"/>
              <w:left w:type="dxa" w:w="240"/>
              <w:bottom w:type="dxa" w:w="24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20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8F3DC"/>
                <w:sz w:val="20"/>
                <w:szCs w:val="20"/>
              </w:rPr>
              <w:t xml:space="preserve">pontos B2B ativos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6A4F" w:val="clear"/>
            <w:tcMar>
              <w:top w:type="dxa" w:w="240"/>
              <w:left w:type="dxa" w:w="240"/>
              <w:bottom w:type="dxa" w:w="24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D2C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8F3DC"/>
                <w:sz w:val="20"/>
                <w:szCs w:val="20"/>
              </w:rPr>
              <w:t xml:space="preserve">operação funcionando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2B788" w:val="clear"/>
            <w:tcMar>
              <w:top w:type="dxa" w:w="160"/>
              <w:left w:type="dxa" w:w="400"/>
              <w:bottom w:type="dxa" w:w="160"/>
              <w:right w:type="dxa" w:w="4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pacing w:val="40"/>
                <w:sz w:val="26"/>
                <w:szCs w:val="26"/>
              </w:rPr>
              <w:t xml:space="preserve">FASE 1 — SUCOS + CÁPSULAS</w:t>
            </w:r>
          </w:p>
        </w:tc>
      </w:tr>
    </w:tbl>
    <w:p>
      <w:pPr>
        <w:spacing w:before="0" w:after="0"/>
      </w:pPr>
      <w:r>
        <w:t xml:space="preserve"/>
      </w:r>
    </w:p>
    <w:p>
      <w:pPr>
        <w:pBdr>
          <w:bottom w:val="single" w:color="D8F3DC" w:sz="4" w:space="1"/>
        </w:pBdr>
        <w:spacing w:before="360" w:after="12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Produtos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B1B1B"/>
          <w:sz w:val="22"/>
          <w:szCs w:val="22"/>
        </w:rPr>
        <w:t xml:space="preserve">Sucos HPP — 6 SKUs · vida útil ~100 dias · produção em 2 lotes (3+3)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B1B1B"/>
          <w:sz w:val="22"/>
          <w:szCs w:val="22"/>
        </w:rPr>
        <w:t xml:space="preserve">Cápsulas Nespresso — parceiro MushSpresso</w:t>
      </w:r>
    </w:p>
    <w:p>
      <w:pPr>
        <w:spacing w:before="0" w:after="0"/>
      </w:pPr>
      <w:r>
        <w:t xml:space="preserve"/>
      </w:r>
    </w:p>
    <w:p>
      <w:pPr>
        <w:pBdr>
          <w:bottom w:val="single" w:color="D8F3DC" w:sz="4" w:space="1"/>
        </w:pBdr>
        <w:spacing w:before="360" w:after="12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O que já temos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B1B1B"/>
          <w:sz w:val="22"/>
          <w:szCs w:val="22"/>
        </w:rPr>
        <w:t xml:space="preserve">Parceria Vida Líquida (sucos) — alinhamento e fluidez operacional em construção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B1B1B"/>
          <w:sz w:val="22"/>
          <w:szCs w:val="22"/>
        </w:rPr>
        <w:t xml:space="preserve">Parceria MushSpresso (cápsulas) — validação de compatibilidade e custo por unidade</w:t>
      </w:r>
    </w:p>
    <w:p>
      <w:pPr>
        <w:spacing w:before="0" w:after="0"/>
      </w:pPr>
      <w:r>
        <w:t xml:space="preserve"/>
      </w:r>
    </w:p>
    <w:p>
      <w:pPr>
        <w:pBdr>
          <w:bottom w:val="single" w:color="D8F3DC" w:sz="4" w:space="1"/>
        </w:pBdr>
        <w:spacing w:before="360" w:after="12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O que precisamos resolver</w:t>
      </w:r>
    </w:p>
    <w:p>
      <w:pPr>
        <w:spacing w:before="0" w:after="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CRÍTICO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CEA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Arial" w:cs="Arial" w:eastAsia="Arial" w:hAnsi="Arial"/>
                <w:color w:val="1B1B1B"/>
                <w:sz w:val="21"/>
                <w:szCs w:val="21"/>
              </w:rPr>
              <w:t xml:space="preserve">→ Parceiro HPP — encontrar quem possa pressionar os sucos após produção</w:t>
            </w:r>
          </w:p>
          <w:p>
            <w:r>
              <w:rPr>
                <w:rFonts w:ascii="Arial" w:cs="Arial" w:eastAsia="Arial" w:hAnsi="Arial"/>
                <w:color w:val="1B1B1B"/>
                <w:sz w:val="21"/>
                <w:szCs w:val="21"/>
              </w:rPr>
              <w:t xml:space="preserve">→ Rótulos — desenvolvimento, aprovação e custo</w:t>
            </w:r>
          </w:p>
          <w:p>
            <w:r>
              <w:rPr>
                <w:rFonts w:ascii="Arial" w:cs="Arial" w:eastAsia="Arial" w:hAnsi="Arial"/>
                <w:color w:val="1B1B1B"/>
                <w:sz w:val="21"/>
                <w:szCs w:val="21"/>
              </w:rPr>
              <w:t xml:space="preserve">→ Embalagens — definir formato, otimizar e abaratar custos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6A4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OPERAÇÃO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8F3DC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Arial" w:cs="Arial" w:eastAsia="Arial" w:hAnsi="Arial"/>
                <w:color w:val="1B1B1B"/>
                <w:sz w:val="21"/>
                <w:szCs w:val="21"/>
              </w:rPr>
              <w:t xml:space="preserve">→ Logística terceirizada (fluxo: pedido → separação → envio)</w:t>
            </w:r>
          </w:p>
          <w:p>
            <w:r>
              <w:rPr>
                <w:rFonts w:ascii="Arial" w:cs="Arial" w:eastAsia="Arial" w:hAnsi="Arial"/>
                <w:color w:val="1B1B1B"/>
                <w:sz w:val="21"/>
                <w:szCs w:val="21"/>
              </w:rPr>
              <w:t xml:space="preserve">→ Website funcional com checkout + tracking</w:t>
            </w:r>
          </w:p>
          <w:p>
            <w:r>
              <w:rPr>
                <w:rFonts w:ascii="Arial" w:cs="Arial" w:eastAsia="Arial" w:hAnsi="Arial"/>
                <w:color w:val="1B1B1B"/>
                <w:sz w:val="21"/>
                <w:szCs w:val="21"/>
              </w:rPr>
              <w:t xml:space="preserve">→ Vendedor B2B contratado e treinado (foco RJ)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2B788" w:val="clear"/>
            <w:tcMar>
              <w:top w:type="dxa" w:w="160"/>
              <w:left w:type="dxa" w:w="400"/>
              <w:bottom w:type="dxa" w:w="160"/>
              <w:right w:type="dxa" w:w="4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pacing w:val="40"/>
                <w:sz w:val="26"/>
                <w:szCs w:val="26"/>
              </w:rPr>
              <w:t xml:space="preserve">COMERCIAL &amp; D2C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8F3DC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D6A4F"/>
                <w:sz w:val="22"/>
                <w:szCs w:val="22"/>
              </w:rPr>
              <w:t xml:space="preserve">Estrutura B2B</w:t>
            </w:r>
          </w:p>
          <w:p>
            <w:r>
              <w:rPr>
                <w:rFonts w:ascii="Arial" w:cs="Arial" w:eastAsia="Arial" w:hAnsi="Arial"/>
                <w:color w:val="1B1B1B"/>
                <w:sz w:val="21"/>
                <w:szCs w:val="21"/>
              </w:rPr>
              <w:t xml:space="preserve">• 1 vendedor B2B (foco RJ)</w:t>
            </w:r>
          </w:p>
          <w:p>
            <w:r>
              <w:rPr>
                <w:rFonts w:ascii="Arial" w:cs="Arial" w:eastAsia="Arial" w:hAnsi="Arial"/>
                <w:color w:val="1B1B1B"/>
                <w:sz w:val="21"/>
                <w:szCs w:val="21"/>
              </w:rPr>
              <w:t xml:space="preserve">• Fundador vendendo junto</w:t>
            </w:r>
          </w:p>
          <w:p>
            <w:r>
              <w:rPr>
                <w:rFonts w:ascii="Arial" w:cs="Arial" w:eastAsia="Arial" w:hAnsi="Arial"/>
                <w:color w:val="1B1B1B"/>
                <w:sz w:val="21"/>
                <w:szCs w:val="21"/>
              </w:rPr>
              <w:t xml:space="preserve">• Meta: 20 pontos ativos em 60 dias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D6A4F"/>
                <w:sz w:val="22"/>
                <w:szCs w:val="22"/>
              </w:rPr>
              <w:t xml:space="preserve">Locais Alvo</w:t>
            </w:r>
          </w:p>
          <w:p>
            <w:r>
              <w:rPr>
                <w:rFonts w:ascii="Arial" w:cs="Arial" w:eastAsia="Arial" w:hAnsi="Arial"/>
                <w:color w:val="1B1B1B"/>
                <w:sz w:val="21"/>
                <w:szCs w:val="21"/>
              </w:rPr>
              <w:t xml:space="preserve">• Cafés · Academias</w:t>
            </w:r>
          </w:p>
          <w:p>
            <w:r>
              <w:rPr>
                <w:rFonts w:ascii="Arial" w:cs="Arial" w:eastAsia="Arial" w:hAnsi="Arial"/>
                <w:color w:val="1B1B1B"/>
                <w:sz w:val="21"/>
                <w:szCs w:val="21"/>
              </w:rPr>
              <w:t xml:space="preserve">• Hotéis · Coworkings</w:t>
            </w:r>
          </w:p>
          <w:p>
            <w:r>
              <w:rPr>
                <w:rFonts w:ascii="Arial" w:cs="Arial" w:eastAsia="Arial" w:hAnsi="Arial"/>
                <w:color w:val="1B1B1B"/>
                <w:sz w:val="21"/>
                <w:szCs w:val="21"/>
              </w:rPr>
              <w:t xml:space="preserve">• Empórios premium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D6A4F"/>
                <w:sz w:val="22"/>
                <w:szCs w:val="22"/>
              </w:rPr>
              <w:t xml:space="preserve">Estrutura D2C</w:t>
            </w:r>
          </w:p>
          <w:p>
            <w:r>
              <w:rPr>
                <w:rFonts w:ascii="Arial" w:cs="Arial" w:eastAsia="Arial" w:hAnsi="Arial"/>
                <w:color w:val="1B1B1B"/>
                <w:sz w:val="21"/>
                <w:szCs w:val="21"/>
              </w:rPr>
              <w:t xml:space="preserve">• Site próprio</w:t>
            </w:r>
          </w:p>
          <w:p>
            <w:r>
              <w:rPr>
                <w:rFonts w:ascii="Arial" w:cs="Arial" w:eastAsia="Arial" w:hAnsi="Arial"/>
                <w:color w:val="1B1B1B"/>
                <w:sz w:val="21"/>
                <w:szCs w:val="21"/>
              </w:rPr>
              <w:t xml:space="preserve">• Operador interno (pedidos)</w:t>
            </w:r>
          </w:p>
          <w:p>
            <w:r>
              <w:rPr>
                <w:rFonts w:ascii="Arial" w:cs="Arial" w:eastAsia="Arial" w:hAnsi="Arial"/>
                <w:color w:val="1B1B1B"/>
                <w:sz w:val="21"/>
                <w:szCs w:val="21"/>
              </w:rPr>
              <w:t xml:space="preserve">• Logística terceirizada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8F3DC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D6A4F"/>
                <w:sz w:val="22"/>
                <w:szCs w:val="22"/>
              </w:rPr>
              <w:t xml:space="preserve">Fluxo de Pedido</w:t>
            </w:r>
          </w:p>
          <w:p>
            <w:r>
              <w:rPr>
                <w:rFonts w:ascii="Arial" w:cs="Arial" w:eastAsia="Arial" w:hAnsi="Arial"/>
                <w:color w:val="1B1B1B"/>
                <w:sz w:val="21"/>
                <w:szCs w:val="21"/>
              </w:rPr>
              <w:t xml:space="preserve">• Pedido recebido</w:t>
            </w:r>
          </w:p>
          <w:p>
            <w:r>
              <w:rPr>
                <w:rFonts w:ascii="Arial" w:cs="Arial" w:eastAsia="Arial" w:hAnsi="Arial"/>
                <w:color w:val="1B1B1B"/>
                <w:sz w:val="21"/>
                <w:szCs w:val="21"/>
              </w:rPr>
              <w:t xml:space="preserve">• Separação interna</w:t>
            </w:r>
          </w:p>
          <w:p>
            <w:r>
              <w:rPr>
                <w:rFonts w:ascii="Arial" w:cs="Arial" w:eastAsia="Arial" w:hAnsi="Arial"/>
                <w:color w:val="1B1B1B"/>
                <w:sz w:val="21"/>
                <w:szCs w:val="21"/>
              </w:rPr>
              <w:t xml:space="preserve">• Despacho → logística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2B788" w:val="clear"/>
            <w:tcMar>
              <w:top w:type="dxa" w:w="160"/>
              <w:left w:type="dxa" w:w="400"/>
              <w:bottom w:type="dxa" w:w="160"/>
              <w:right w:type="dxa" w:w="4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pacing w:val="40"/>
                <w:sz w:val="26"/>
                <w:szCs w:val="26"/>
              </w:rPr>
              <w:t xml:space="preserve">FASE 2 — SHOTS + CAFÉ MOÍDO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B1B1B"/>
          <w:sz w:val="22"/>
          <w:szCs w:val="22"/>
        </w:rPr>
        <w:t xml:space="preserve">Shots funcionais — Imunidade · Digestão · Energia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B1B1B"/>
          <w:sz w:val="22"/>
          <w:szCs w:val="22"/>
        </w:rPr>
        <w:t xml:space="preserve">Café moído com cogumelos funcionais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B1B1B"/>
          <w:sz w:val="22"/>
          <w:szCs w:val="22"/>
        </w:rPr>
        <w:t xml:space="preserve">Dependências: formulações definidas + produção viável + parceiro validado</w:t>
      </w:r>
    </w:p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2B788" w:val="clear"/>
            <w:tcMar>
              <w:top w:type="dxa" w:w="160"/>
              <w:left w:type="dxa" w:w="400"/>
              <w:bottom w:type="dxa" w:w="160"/>
              <w:right w:type="dxa" w:w="4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pacing w:val="40"/>
                <w:sz w:val="26"/>
                <w:szCs w:val="26"/>
              </w:rPr>
              <w:t xml:space="preserve">FASE 3 — SOLÚVEIS</w:t>
            </w:r>
          </w:p>
        </w:tc>
      </w:tr>
    </w:tbl>
    <w:p>
      <w:pPr>
        <w:spacing w:before="0" w:after="0"/>
      </w:pPr>
      <w:r>
        <w:t xml:space="preserve"/>
      </w:r>
    </w:p>
    <w:p>
      <w:pPr>
        <w:pBdr>
          <w:bottom w:val="single" w:color="D8F3DC" w:sz="4" w:space="1"/>
        </w:pBdr>
        <w:spacing w:before="360" w:after="12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Produtos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B1B1B"/>
          <w:sz w:val="22"/>
          <w:szCs w:val="22"/>
        </w:rPr>
        <w:t xml:space="preserve">Matcha · Cacau · Latte funcional</w:t>
      </w:r>
    </w:p>
    <w:p>
      <w:pPr>
        <w:pBdr>
          <w:bottom w:val="single" w:color="D8F3DC" w:sz="4" w:space="1"/>
        </w:pBdr>
        <w:spacing w:before="360" w:after="12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O que resolver antes de avançar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B1B1B"/>
          <w:sz w:val="22"/>
          <w:szCs w:val="22"/>
        </w:rPr>
        <w:t xml:space="preserve">Decidir: co-packer ou produção própria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B1B1B"/>
          <w:sz w:val="22"/>
          <w:szCs w:val="22"/>
        </w:rPr>
        <w:t xml:space="preserve">Encontrar parceiros de co-packing qualificados (se for terceirizar)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B1B1B"/>
          <w:sz w:val="22"/>
          <w:szCs w:val="22"/>
        </w:rPr>
        <w:t xml:space="preserve">Formulações de cada produto — receita + dosagem de cogumelo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B1B1B"/>
          <w:sz w:val="22"/>
          <w:szCs w:val="22"/>
        </w:rPr>
        <w:t xml:space="preserve">Embalagem correta para solúvel — tipo, gramatura, hermeticidade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B1B1B"/>
          <w:sz w:val="22"/>
          <w:szCs w:val="22"/>
        </w:rPr>
        <w:t xml:space="preserve">Desenvolvimento de rótulo para cada SKU</w:t>
      </w:r>
    </w:p>
    <w:p>
      <w:pPr>
        <w:spacing w:before="80" w:after="8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Foco: margem alta + escalabilidade D2C.</w:t>
      </w:r>
    </w:p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2B788" w:val="clear"/>
            <w:tcMar>
              <w:top w:type="dxa" w:w="160"/>
              <w:left w:type="dxa" w:w="400"/>
              <w:bottom w:type="dxa" w:w="160"/>
              <w:right w:type="dxa" w:w="4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pacing w:val="40"/>
                <w:sz w:val="26"/>
                <w:szCs w:val="26"/>
              </w:rPr>
              <w:t xml:space="preserve">FASE 4 — RTD (LATAS)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B1B1B"/>
          <w:sz w:val="22"/>
          <w:szCs w:val="22"/>
        </w:rPr>
        <w:t xml:space="preserve">Ice Coffee · Ice Matcha · Ice Cacau · Hibisco · Mate · Functional Soda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B1B1B"/>
          <w:sz w:val="22"/>
          <w:szCs w:val="22"/>
        </w:rPr>
        <w:t xml:space="preserve">Só avançar se: canal validado + volume previsível + parceiro definido</w:t>
      </w:r>
    </w:p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2B788" w:val="clear"/>
            <w:tcMar>
              <w:top w:type="dxa" w:w="160"/>
              <w:left w:type="dxa" w:w="400"/>
              <w:bottom w:type="dxa" w:w="160"/>
              <w:right w:type="dxa" w:w="4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pacing w:val="40"/>
                <w:sz w:val="26"/>
                <w:szCs w:val="26"/>
              </w:rPr>
              <w:t xml:space="preserve">FASE 5 — SUPLEMENTOS</w:t>
            </w:r>
          </w:p>
        </w:tc>
      </w:tr>
    </w:tbl>
    <w:p>
      <w:pPr>
        <w:spacing w:before="0" w:after="0"/>
      </w:pPr>
      <w:r>
        <w:t xml:space="preserve"/>
      </w:r>
    </w:p>
    <w:p>
      <w:pPr>
        <w:pBdr>
          <w:bottom w:val="single" w:color="D8F3DC" w:sz="4" w:space="1"/>
        </w:pBdr>
        <w:spacing w:before="360" w:after="12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Linha de Cogumelos Individuais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4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21"/>
                <w:szCs w:val="21"/>
              </w:rPr>
              <w:t xml:space="preserve">Juba de Leão</w:t>
            </w:r>
          </w:p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Foco · memória · neuroproteção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21"/>
                <w:szCs w:val="21"/>
              </w:rPr>
              <w:t xml:space="preserve">Cordyceps</w:t>
            </w:r>
          </w:p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Energia · performance física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21"/>
                <w:szCs w:val="21"/>
              </w:rPr>
              <w:t xml:space="preserve">Reishi</w:t>
            </w:r>
          </w:p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Imunidade · sono · adaptação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21"/>
                <w:szCs w:val="21"/>
              </w:rPr>
              <w:t xml:space="preserve">Tremella</w:t>
            </w:r>
          </w:p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Hidratação · pele · antioxidante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21"/>
                <w:szCs w:val="21"/>
              </w:rPr>
              <w:t xml:space="preserve">Cauda de Peru</w:t>
            </w:r>
          </w:p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Imunidade · microbioma · gut health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21"/>
                <w:szCs w:val="21"/>
              </w:rPr>
              <w:t xml:space="preserve">Chaga (?)</w:t>
            </w:r>
          </w:p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A considerar — antioxidante potente</w:t>
            </w:r>
          </w:p>
        </w:tc>
      </w:tr>
    </w:tbl>
    <w:p>
      <w:pPr>
        <w:spacing w:before="0" w:after="0"/>
      </w:pPr>
      <w:r>
        <w:t xml:space="preserve"/>
      </w:r>
    </w:p>
    <w:p>
      <w:pPr>
        <w:pBdr>
          <w:bottom w:val="single" w:color="D8F3DC" w:sz="4" w:space="1"/>
        </w:pBdr>
        <w:spacing w:before="360" w:after="12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Outros Produtos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B1B1B"/>
          <w:sz w:val="22"/>
          <w:szCs w:val="22"/>
        </w:rPr>
        <w:t xml:space="preserve">Blend diário — mix multicogumelo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B1B1B"/>
          <w:sz w:val="22"/>
          <w:szCs w:val="22"/>
        </w:rPr>
        <w:t xml:space="preserve">Proteína de micélio</w:t>
      </w:r>
    </w:p>
    <w:p>
      <w:pPr>
        <w:spacing w:before="80" w:after="8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Depende ANVISA. Foco: autoridade, ticket alto, recorrência.</w:t>
      </w:r>
    </w:p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2B788" w:val="clear"/>
            <w:tcMar>
              <w:top w:type="dxa" w:w="160"/>
              <w:left w:type="dxa" w:w="400"/>
              <w:bottom w:type="dxa" w:w="160"/>
              <w:right w:type="dxa" w:w="4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pacing w:val="40"/>
                <w:sz w:val="26"/>
                <w:szCs w:val="26"/>
              </w:rPr>
              <w:t xml:space="preserve">MÉTRICAS DE ACOMPANHAMENTO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8F3DC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D6A4F"/>
                <w:sz w:val="22"/>
                <w:szCs w:val="22"/>
              </w:rPr>
              <w:t xml:space="preserve">Fase 1 — O que medir</w:t>
            </w:r>
          </w:p>
          <w:p>
            <w:r>
              <w:rPr>
                <w:rFonts w:ascii="Arial" w:cs="Arial" w:eastAsia="Arial" w:hAnsi="Arial"/>
                <w:color w:val="1B1B1B"/>
                <w:sz w:val="21"/>
                <w:szCs w:val="21"/>
              </w:rPr>
              <w:t xml:space="preserve">• Unidades vendidas por SKU (giro real)</w:t>
            </w:r>
          </w:p>
          <w:p>
            <w:r>
              <w:rPr>
                <w:rFonts w:ascii="Arial" w:cs="Arial" w:eastAsia="Arial" w:hAnsi="Arial"/>
                <w:color w:val="1B1B1B"/>
                <w:sz w:val="21"/>
                <w:szCs w:val="21"/>
              </w:rPr>
              <w:t xml:space="preserve">• Pontos B2B ativos (e taxa de recompra)</w:t>
            </w:r>
          </w:p>
          <w:p>
            <w:r>
              <w:rPr>
                <w:rFonts w:ascii="Arial" w:cs="Arial" w:eastAsia="Arial" w:hAnsi="Arial"/>
                <w:color w:val="1B1B1B"/>
                <w:sz w:val="21"/>
                <w:szCs w:val="21"/>
              </w:rPr>
              <w:t xml:space="preserve">• CAC D2C vs ticket médio</w:t>
            </w:r>
          </w:p>
          <w:p>
            <w:r>
              <w:rPr>
                <w:rFonts w:ascii="Arial" w:cs="Arial" w:eastAsia="Arial" w:hAnsi="Arial"/>
                <w:color w:val="1B1B1B"/>
                <w:sz w:val="21"/>
                <w:szCs w:val="21"/>
              </w:rPr>
              <w:t xml:space="preserve">• Tempo médio de entrega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D6A4F"/>
                <w:sz w:val="22"/>
                <w:szCs w:val="22"/>
              </w:rPr>
              <w:t xml:space="preserve">Sinais de Alerta</w:t>
            </w:r>
          </w:p>
          <w:p>
            <w:r>
              <w:rPr>
                <w:rFonts w:ascii="Arial" w:cs="Arial" w:eastAsia="Arial" w:hAnsi="Arial"/>
                <w:color w:val="1B1B1B"/>
                <w:sz w:val="21"/>
                <w:szCs w:val="21"/>
              </w:rPr>
              <w:t xml:space="preserve">• SKU sem giro em 2 semanas → revisar ou cortar</w:t>
            </w:r>
          </w:p>
          <w:p>
            <w:r>
              <w:rPr>
                <w:rFonts w:ascii="Arial" w:cs="Arial" w:eastAsia="Arial" w:hAnsi="Arial"/>
                <w:color w:val="1B1B1B"/>
                <w:sz w:val="21"/>
                <w:szCs w:val="21"/>
              </w:rPr>
              <w:t xml:space="preserve">• B2B não fecha → mudar abordagem</w:t>
            </w:r>
          </w:p>
          <w:p>
            <w:r>
              <w:rPr>
                <w:rFonts w:ascii="Arial" w:cs="Arial" w:eastAsia="Arial" w:hAnsi="Arial"/>
                <w:color w:val="1B1B1B"/>
                <w:sz w:val="21"/>
                <w:szCs w:val="21"/>
              </w:rPr>
              <w:t xml:space="preserve">• Logística com falha → simplificar fluxo</w:t>
            </w:r>
          </w:p>
          <w:p>
            <w:r>
              <w:rPr>
                <w:rFonts w:ascii="Arial" w:cs="Arial" w:eastAsia="Arial" w:hAnsi="Arial"/>
                <w:color w:val="1B1B1B"/>
                <w:sz w:val="21"/>
                <w:szCs w:val="21"/>
              </w:rPr>
              <w:t xml:space="preserve">• Estoque parado → rever lote mínimo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6A4F" w:val="clear"/>
            <w:tcMar>
              <w:top w:type="dxa" w:w="360"/>
              <w:left w:type="dxa" w:w="480"/>
              <w:bottom w:type="dxa" w:w="360"/>
              <w:right w:type="dxa" w:w="4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8F3DC"/>
                <w:spacing w:val="60"/>
                <w:sz w:val="22"/>
                <w:szCs w:val="22"/>
              </w:rPr>
              <w:t xml:space="preserve">REGRA OPERACIONAL</w:t>
            </w:r>
          </w:p>
          <w:p>
            <w:pPr>
              <w:spacing w:before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Lançar rápido · Ajustar depois · Cortar o que não gira · Escalar o que vende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5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B1B1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0" w:after="200"/>
      <w:outlineLvl w:val="0"/>
    </w:pPr>
    <w:rPr>
      <w:rFonts w:ascii="Arial" w:cs="Arial" w:eastAsia="Arial" w:hAnsi="Arial"/>
      <w:b/>
      <w:bCs/>
      <w:color w:val="FFFFFF"/>
      <w:sz w:val="44"/>
      <w:szCs w:val="44"/>
    </w:rPr>
  </w:style>
  <w:style w:type="paragraph" w:styleId="Heading2">
    <w:name w:val="Heading 2"/>
    <w:basedOn w:val="Normal"/>
    <w:next w:val="Normal"/>
    <w:qFormat/>
    <w:pPr>
      <w:spacing w:before="400" w:after="160"/>
      <w:outlineLvl w:val="1"/>
    </w:pPr>
    <w:rPr>
      <w:rFonts w:ascii="Arial" w:cs="Arial" w:eastAsia="Arial" w:hAnsi="Arial"/>
      <w:b/>
      <w:bCs/>
      <w:color w:val="FFFFFF"/>
      <w:sz w:val="30"/>
      <w:szCs w:val="30"/>
    </w:rPr>
  </w:style>
  <w:style w:type="paragraph" w:styleId="Heading3">
    <w:name w:val="Heading 3"/>
    <w:basedOn w:val="Normal"/>
    <w:next w:val="Normal"/>
    <w:qFormat/>
    <w:pPr>
      <w:spacing w:before="300" w:after="120"/>
      <w:outlineLvl w:val="2"/>
    </w:pPr>
    <w:rPr>
      <w:rFonts w:ascii="Arial" w:cs="Arial" w:eastAsia="Arial" w:hAnsi="Arial"/>
      <w:b/>
      <w:bCs/>
      <w:color w:val="2D6A4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2026-03-19T18:11:00.329Z</dcterms:created>
  <dcterms:modified xsi:type="dcterms:W3CDTF">2026-03-19T18:11:00.329Z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