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MATRIZ DE FINANCIAMENTO PÚBLICO E CLÁUSULAS DE PROPRIEDADE INTELECTUAL</w:t>
      </w:r>
    </w:p>
    <w:p>
      <w:r>
        <w:rPr>
          <w:rFonts w:ascii="Calibri" w:hAnsi="Calibri"/>
          <w:i/>
          <w:color w:val="646464"/>
          <w:sz w:val="22"/>
        </w:rPr>
        <w:t>Classificação V5.3: Documento Final de Controle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Agência Financiadora</w:t>
            </w:r>
          </w:p>
        </w:tc>
        <w:tc>
          <w:tcPr>
            <w:tcW w:type="dxa" w:w="316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Edital / Processo Identificado</w:t>
            </w:r>
          </w:p>
        </w:tc>
        <w:tc>
          <w:tcPr>
            <w:tcW w:type="dxa" w:w="187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Evidência no Acervo</w:t>
            </w:r>
          </w:p>
        </w:tc>
        <w:tc>
          <w:tcPr>
            <w:tcW w:type="dxa" w:w="172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do Anexo no SIPAC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Fapes (Espírito Santo)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Editais #941/2022, #2023/RWXSZ, #2022/ZQX6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Agradecimentos do artigo IJNM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 CONFIRMAR com a AGIFES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CAPES (MEC)</w:t>
            </w:r>
          </w:p>
        </w:tc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Processo #2021-2S6CD (PDPG / Proc. Fapes 132/2021)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Agradecimentos do artigo IJNM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 CONFIRMAR com a AGIFES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Fapesp / MCTI / CGI.br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Processo #2020/05182-3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Agradecimentos do artigo IJNM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 CONFIRMAR com a AGIFES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Matriz de Financiamento e 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