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B365D"/>
          <w:sz w:val="40"/>
        </w:rPr>
        <w:t>MATRIZ DE CONTROLE DE TITULARIDADE E COTITULARIDADE</w:t>
      </w:r>
    </w:p>
    <w:p>
      <w:r>
        <w:rPr>
          <w:rFonts w:ascii="Calibri" w:hAnsi="Calibri"/>
          <w:i/>
          <w:color w:val="646464"/>
          <w:sz w:val="22"/>
        </w:rPr>
        <w:t>Classificação V5.3: Documento Final de Controle — Validação Institucional Pendente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Entidade Titular</w:t>
            </w:r>
          </w:p>
        </w:tc>
        <w:tc>
          <w:tcPr>
            <w:tcW w:type="dxa" w:w="1728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Percentual Proposto</w:t>
            </w:r>
          </w:p>
        </w:tc>
        <w:tc>
          <w:tcPr>
            <w:tcW w:type="dxa" w:w="2592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Base Documental nas Fontes</w:t>
            </w:r>
          </w:p>
        </w:tc>
        <w:tc>
          <w:tcPr>
            <w:tcW w:type="dxa" w:w="1872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 de Validação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Instituto Federal do Espírito Santo (Ifes)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85%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Formulário de Criação de Software (Grau de esforço)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Titularidade proposta/declarada</w:t>
            </w:r>
          </w:p>
        </w:tc>
      </w:tr>
      <w:tr>
        <w:tc>
          <w:tcPr>
            <w:tcW w:type="dxa" w:w="3168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Universidade Federal do Espírito Santo (Ufes)</w:t>
            </w:r>
          </w:p>
        </w:tc>
        <w:tc>
          <w:tcPr>
            <w:tcW w:type="dxa" w:w="1728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15%</w:t>
            </w:r>
          </w:p>
        </w:tc>
        <w:tc>
          <w:tcPr>
            <w:tcW w:type="dxa" w:w="2592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Formulário de Criação de Software (Grau de esforço)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Titularidade proposta/declarada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Instrumento Formal de Parceria (Convênio/ACT)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 CONFIRMAR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Não localizado nas fontes primárias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Diligência a enviar à AGIFES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Processo de Registro de Programa de Computador — Ifes / AGIFES / INPI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MTS-PolKA — Dossiê V5.3 | Matriz de Titularidade Ifes / Ufes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