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AE907" w14:textId="77777777">
      <w:pPr>
        <w:spacing/>
        <w:ind/>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-313901</wp:posOffset>
                </wp:positionH>
                <wp:positionV relativeFrom="paragraph">
                  <wp:posOffset>38312</wp:posOffset>
                </wp:positionV>
                <wp:extent cx="6238875" cy="1562100"/>
                <wp:effectExtent l="0" t="0" r="0" b="0"/>
                <wp:wrapNone/>
                <wp:docPr id="2" name="Grupo 53"/>
                <wp:cNvGraphicFramePr/>
                <a:graphic xmlns:a="http://schemas.openxmlformats.org/drawingml/2006/main">
                  <a:graphicData uri="http://schemas.microsoft.com/office/word/2010/wordprocessingGroup">
                    <wpg:wgp>
                      <wpg:cNvGrpSpPr/>
                      <wpg:grpSpPr bwMode="auto">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pPr>
                                <w:spacing w:after="0" w:line="240" w:lineRule="auto"/>
                                <w:ind/>
                                <w:rPr>
                                  <w:b/>
                                  <w:color w:val="ff0000"/>
                                  <w:sz w:val="48"/>
                                  <w:szCs w:val="48"/>
                                </w:rPr>
                              </w:pPr>
                              <w:r>
                                <w:rPr>
                                  <w:b/>
                                  <w:color w:val="ff0000"/>
                                  <w:sz w:val="48"/>
                                  <w:szCs w:val="48"/>
                                </w:rPr>
                              </w:r>
                              <w:r>
                                <w:rPr>
                                  <w:b/>
                                  <w:color w:val="ff0000"/>
                                  <w:sz w:val="48"/>
                                  <w:szCs w:val="48"/>
                                </w:rPr>
                              </w:r>
                            </w:p>
                            <w:p w14:paraId="21115FFE" w14:textId="6E6C6F8D">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CE9F203" w14:textId="10942EFB">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wps:txbx>
                        <wps:bodyPr rot="0" vert="horz" wrap="square" lIns="91440" tIns="45720" rIns="91440" bIns="45720" anchor="t" anchorCtr="0">
                          <a:noAutofit/>
                        </wps:bodyPr>
                      </wps:wsp>
                      <wps:wsp>
                        <wps:cNvPr id="56" name="Rectángulo 56"/>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251659264;o:allowoverlap:true;o:allowincell:true;mso-position-horizontal-relative:margin;margin-left:-24.72pt;mso-position-horizontal:absolute;mso-position-vertical-relative:text;margin-top:3.02pt;mso-position-vertical:absolute;width:491.25pt;height:123.00pt;mso-width-percent:0;mso-width-relative:margin;mso-height-percent:0;mso-height-relative:margin;mso-wrap-distance-left:9.00pt;mso-wrap-distance-top:0.00pt;mso-wrap-distance-right:9.00pt;mso-wrap-distance-bottom:0.00pt;" coordorigin="0,0" coordsize="59912,15621">
                <v:shape id="shape 2" o:spid="_x0000_s2" o:spt="202" type="#_x0000_t202" style="position:absolute;left:10246;top:2994;width:49665;height:12626;v-text-anchor:top;visibility:visible;" filled="f" stroked="f" strokeweight="0.75pt">
                  <v:textbox inset="0,0,0,0">
                    <w:txbxContent>
                      <w:p w14:paraId="5D9E8BED" w14:textId="77777777">
                        <w:pPr>
                          <w:spacing w:after="0" w:line="240" w:lineRule="auto"/>
                          <w:ind/>
                          <w:rPr>
                            <w:b/>
                            <w:color w:val="ff0000"/>
                            <w:sz w:val="48"/>
                            <w:szCs w:val="48"/>
                          </w:rPr>
                        </w:pPr>
                        <w:r>
                          <w:rPr>
                            <w:b/>
                            <w:color w:val="ff0000"/>
                            <w:sz w:val="48"/>
                            <w:szCs w:val="48"/>
                          </w:rPr>
                        </w:r>
                        <w:r>
                          <w:rPr>
                            <w:b/>
                            <w:color w:val="ff0000"/>
                            <w:sz w:val="48"/>
                            <w:szCs w:val="48"/>
                          </w:rPr>
                        </w:r>
                      </w:p>
                      <w:p w14:paraId="21115FFE" w14:textId="6E6C6F8D">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CE9F203" w14:textId="10942EFB">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p>
    <w:p w14:paraId="5F8A6F48" w14:textId="77777777">
      <w:pPr>
        <w:spacing/>
        <w:ind/>
        <w:rPr/>
      </w:pPr>
      <w:r/>
      <w:r/>
    </w:p>
    <w:p w14:paraId="5CDC10C5" w14:textId="77777777">
      <w:pPr>
        <w:spacing/>
        <w:ind/>
        <w:rPr/>
      </w:pPr>
      <w:r/>
      <w:r/>
    </w:p>
    <w:p w14:paraId="017C39D3" w14:textId="77777777">
      <w:pPr>
        <w:spacing/>
        <w:ind/>
        <w:rPr/>
      </w:pPr>
      <w:r/>
      <w:r/>
    </w:p>
    <w:p w14:paraId="15C3087B" w14:textId="77777777">
      <w:pPr>
        <w:spacing/>
        <w:ind/>
        <w:rPr/>
      </w:pPr>
      <w:r/>
      <w:r/>
    </w:p>
    <w:p w14:paraId="76290C55" w14:textId="77777777">
      <w:pPr>
        <w:spacing/>
        <w:ind/>
        <w:rPr>
          <w:rFonts w:asciiTheme="majorHAnsi" w:hAnsiTheme="majorHAnsi" w:eastAsiaTheme="majorEastAsia" w:cstheme="majorBidi"/>
          <w:b/>
          <w:color w:val="2f5496" w:themeColor="accent1" w:themeShade="BF"/>
          <w:sz w:val="26"/>
          <w:szCs w:val="26"/>
        </w:rPr>
      </w:pPr>
      <w:r>
        <w:rPr>
          <w:rFonts w:asciiTheme="majorHAnsi" w:hAnsiTheme="majorHAnsi" w:eastAsiaTheme="majorEastAsia" w:cstheme="majorBidi"/>
          <w:b/>
          <w:color w:val="2f5496" w:themeColor="accent1" w:themeShade="BF"/>
          <w:sz w:val="26"/>
          <w:szCs w:val="26"/>
        </w:rPr>
      </w:r>
      <w:r>
        <w:rPr>
          <w:rFonts w:asciiTheme="majorHAnsi" w:hAnsiTheme="majorHAnsi" w:eastAsiaTheme="majorEastAsia" w:cstheme="majorBidi"/>
          <w:b/>
          <w:color w:val="2f5496" w:themeColor="accent1" w:themeShade="BF"/>
          <w:sz w:val="26"/>
          <w:szCs w:val="26"/>
        </w:rPr>
      </w:r>
    </w:p>
    <w:p w14:paraId="1FCB0052" w14:textId="77777777">
      <w:pPr>
        <w:spacing/>
        <w:ind/>
        <w:rPr>
          <w:rFonts w:asciiTheme="majorHAnsi" w:hAnsiTheme="majorHAnsi" w:eastAsiaTheme="majorEastAsia" w:cstheme="majorBidi"/>
          <w:b/>
          <w:color w:val="2f5496" w:themeColor="accent1" w:themeShade="BF"/>
          <w:sz w:val="26"/>
          <w:szCs w:val="26"/>
        </w:rPr>
      </w:pPr>
      <w:r>
        <w:rPr>
          <w:rFonts w:asciiTheme="majorHAnsi" w:hAnsiTheme="majorHAnsi" w:eastAsiaTheme="majorEastAsia" w:cstheme="majorBidi"/>
          <w:b/>
          <w:color w:val="2f5496" w:themeColor="accent1" w:themeShade="BF"/>
          <w:sz w:val="26"/>
          <w:szCs w:val="26"/>
        </w:rPr>
      </w:r>
      <w:r>
        <w:rPr>
          <w:rFonts w:asciiTheme="majorHAnsi" w:hAnsiTheme="majorHAnsi" w:eastAsiaTheme="majorEastAsia" w:cstheme="majorBidi"/>
          <w:b/>
          <w:color w:val="2f5496" w:themeColor="accent1" w:themeShade="BF"/>
          <w:sz w:val="26"/>
          <w:szCs w:val="26"/>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trPr>
          <w:trHeight w:val="440"/>
        </w:trPr>
        <w:tc>
          <w:tcPr>
            <w:tcBorders/>
            <w:tcW w:w="9781" w:type="dxa"/>
            <w:vAlign w:val="center"/>
          </w:tcPr>
          <w:p w14:paraId="49D80728" w14:textId="0F1B70F0">
            <w:pPr>
              <w:spacing/>
              <w:ind/>
              <w:rPr>
                <w:b/>
                <w:color w:val="1f3864" w:themeColor="accent1" w:themeShade="80"/>
                <w:sz w:val="28"/>
                <w:szCs w:val="28"/>
              </w:rPr>
            </w:pPr>
            <w:r>
              <w:rPr>
                <w:b/>
                <w:color w:val="1f3864" w:themeColor="accent1" w:themeShade="80"/>
                <w:sz w:val="28"/>
                <w:szCs w:val="28"/>
              </w:rPr>
              <w:t xml:space="preserve">1</w:t>
            </w:r>
            <w:r>
              <w:rPr>
                <w:b/>
                <w:color w:val="1f3864" w:themeColor="accent1" w:themeShade="80"/>
                <w:sz w:val="28"/>
                <w:szCs w:val="28"/>
              </w:rPr>
              <w:t xml:space="preserve">. </w:t>
            </w:r>
            <w:r>
              <w:rPr>
                <w:b/>
                <w:color w:val="1f3864" w:themeColor="accent1" w:themeShade="80"/>
                <w:sz w:val="28"/>
                <w:szCs w:val="28"/>
              </w:rPr>
              <w:t xml:space="preserve">Informe</w:t>
            </w:r>
            <w:r>
              <w:rPr>
                <w:b/>
                <w:color w:val="1f3864" w:themeColor="accent1" w:themeShade="80"/>
                <w:sz w:val="28"/>
                <w:szCs w:val="28"/>
              </w:rPr>
              <w:t xml:space="preserve"> final </w:t>
            </w:r>
            <w:r>
              <w:rPr>
                <w:b/>
                <w:color w:val="1f3864" w:themeColor="accent1" w:themeShade="80"/>
                <w:sz w:val="28"/>
                <w:szCs w:val="28"/>
              </w:rPr>
              <w:t xml:space="preserve">P</w:t>
            </w:r>
            <w:r>
              <w:rPr>
                <w:b/>
                <w:color w:val="1f3864" w:themeColor="accent1" w:themeShade="80"/>
                <w:sz w:val="28"/>
                <w:szCs w:val="28"/>
              </w:rPr>
              <w:t xml:space="preserve">royecto APT</w:t>
            </w:r>
            <w:r>
              <w:rPr>
                <w:b/>
                <w:color w:val="1f3864" w:themeColor="accent1" w:themeShade="80"/>
                <w:sz w:val="28"/>
                <w:szCs w:val="28"/>
              </w:rPr>
            </w:r>
          </w:p>
        </w:tc>
      </w:tr>
      <w:tr>
        <w:trPr>
          <w:trHeight w:val="800"/>
        </w:trPr>
        <w:tc>
          <w:tcPr>
            <w:shd w:val="clear" w:color="auto" w:fill="d9e2f3" w:themeFill="accent1" w:themeFillTint="33"/>
            <w:tcBorders/>
            <w:tcW w:w="9781" w:type="dxa"/>
            <w:vAlign w:val="center"/>
          </w:tcPr>
          <w:p w14:paraId="27A7A8C5" w14:textId="77777777">
            <w:pPr>
              <w:pStyle w:val="773"/>
              <w:spacing/>
              <w:ind/>
              <w:jc w:val="both"/>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p w14:paraId="66025BDD" w14:textId="5E882AAD">
            <w:pPr>
              <w:pStyle w:val="773"/>
              <w:spacing/>
              <w:ind/>
              <w:jc w:val="both"/>
              <w:rPr>
                <w:rFonts w:ascii="Calibri" w:hAnsi="Calibri"/>
                <w:color w:val="1f3864" w:themeColor="accent1" w:themeShade="80"/>
              </w:rPr>
            </w:pPr>
            <w:r>
              <w:rPr>
                <w:rFonts w:ascii="Calibri" w:hAnsi="Calibri"/>
                <w:color w:val="1f3864" w:themeColor="accent1" w:themeShade="80"/>
              </w:rPr>
              <w:t xml:space="preserve">El objetivo de est</w:t>
            </w:r>
            <w:r>
              <w:rPr>
                <w:rFonts w:ascii="Calibri" w:hAnsi="Calibri"/>
                <w:color w:val="1f3864" w:themeColor="accent1" w:themeShade="80"/>
              </w:rPr>
              <w:t xml:space="preserve">e</w:t>
            </w:r>
            <w:r>
              <w:rPr>
                <w:rFonts w:ascii="Calibri" w:hAnsi="Calibri"/>
                <w:color w:val="1f3864" w:themeColor="accent1" w:themeShade="80"/>
              </w:rPr>
              <w:t xml:space="preserve"> </w:t>
            </w:r>
            <w:r>
              <w:rPr>
                <w:rFonts w:ascii="Calibri" w:hAnsi="Calibri"/>
                <w:color w:val="1f3864" w:themeColor="accent1" w:themeShade="80"/>
              </w:rPr>
              <w:t xml:space="preserve">informe</w:t>
            </w:r>
            <w:r>
              <w:rPr>
                <w:rFonts w:ascii="Calibri" w:hAnsi="Calibri"/>
                <w:color w:val="1f3864" w:themeColor="accent1" w:themeShade="80"/>
              </w:rPr>
              <w:t xml:space="preserve"> es que describas los aspectos más relevantes de tu </w:t>
            </w:r>
            <w:r>
              <w:rPr>
                <w:rFonts w:ascii="Calibri" w:hAnsi="Calibri"/>
                <w:color w:val="1f3864" w:themeColor="accent1" w:themeShade="80"/>
              </w:rPr>
              <w:t xml:space="preserve">Proyecto APT. Es importante que</w:t>
            </w:r>
            <w:r>
              <w:rPr>
                <w:rFonts w:ascii="Calibri" w:hAnsi="Calibri"/>
                <w:color w:val="1f3864" w:themeColor="accent1" w:themeShade="80"/>
              </w:rPr>
              <w:t xml:space="preserve"> fundament</w:t>
            </w:r>
            <w:r>
              <w:rPr>
                <w:rFonts w:ascii="Calibri" w:hAnsi="Calibri"/>
                <w:color w:val="1f3864" w:themeColor="accent1" w:themeShade="80"/>
              </w:rPr>
              <w:t xml:space="preserve">es las</w:t>
            </w:r>
            <w:r>
              <w:rPr>
                <w:rFonts w:ascii="Calibri" w:hAnsi="Calibri"/>
                <w:color w:val="1f3864" w:themeColor="accent1" w:themeShade="80"/>
              </w:rPr>
              <w:t xml:space="preserve"> decisiones que tuviste que tomar a lo largo del proceso. </w:t>
            </w:r>
            <w:r>
              <w:rPr>
                <w:rFonts w:ascii="Calibri" w:hAnsi="Calibri"/>
                <w:color w:val="1f3864" w:themeColor="accent1" w:themeShade="80"/>
              </w:rPr>
            </w:r>
          </w:p>
          <w:p w14:paraId="473140E5" w14:textId="77777777">
            <w:pPr>
              <w:pStyle w:val="773"/>
              <w:spacing/>
              <w:ind/>
              <w:jc w:val="both"/>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p w14:paraId="442403C7" w14:textId="2861B388">
            <w:pPr>
              <w:pStyle w:val="773"/>
              <w:spacing/>
              <w:ind/>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w:t>
            </w:r>
            <w:r>
              <w:rPr>
                <w:rFonts w:ascii="Calibri" w:hAnsi="Calibri"/>
                <w:color w:val="1f3864" w:themeColor="accent1" w:themeShade="80"/>
              </w:rPr>
              <w:t xml:space="preserve"> con la información solicitada, los</w:t>
            </w:r>
            <w:r>
              <w:rPr>
                <w:rFonts w:ascii="Calibri" w:hAnsi="Calibri"/>
                <w:color w:val="1f3864" w:themeColor="accent1" w:themeShade="80"/>
              </w:rPr>
              <w:t xml:space="preserve"> que </w:t>
            </w:r>
            <w:r>
              <w:rPr>
                <w:rFonts w:ascii="Calibri" w:hAnsi="Calibri"/>
                <w:color w:val="1f3864" w:themeColor="accent1" w:themeShade="80"/>
              </w:rPr>
              <w:t xml:space="preserve">dan</w:t>
            </w:r>
            <w:r>
              <w:rPr>
                <w:rFonts w:ascii="Calibri" w:hAnsi="Calibri"/>
                <w:color w:val="1f3864" w:themeColor="accent1" w:themeShade="80"/>
              </w:rPr>
              <w:t xml:space="preserve"> cuenta del resumen de tu proyecto APT y sus principales resultados.</w:t>
            </w:r>
            <w:r>
              <w:rPr>
                <w:rFonts w:ascii="Calibri" w:hAnsi="Calibri"/>
                <w:b/>
                <w:color w:val="1f3864" w:themeColor="accent1" w:themeShade="80"/>
              </w:rPr>
            </w:r>
          </w:p>
        </w:tc>
      </w:tr>
    </w:tbl>
    <w:p w14:paraId="24A0099E" w14:textId="432D3233">
      <w:pPr>
        <w:spacing/>
        <w:ind/>
        <w:rPr>
          <w:b/>
        </w:rPr>
      </w:pPr>
      <w:r>
        <w:rPr>
          <w:b/>
        </w:rPr>
      </w:r>
      <w:r>
        <w:rPr>
          <w:b/>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trPr>
          <w:trHeight w:val="440"/>
        </w:trPr>
        <w:tc>
          <w:tcPr>
            <w:tcBorders/>
            <w:tcW w:w="3159" w:type="dxa"/>
            <w:vAlign w:val="center"/>
          </w:tcPr>
          <w:p w14:paraId="647676E6" w14:textId="77777777">
            <w:pPr>
              <w:spacing/>
              <w:ind/>
              <w:rPr>
                <w:rFonts w:ascii="Calibri" w:hAnsi="Calibri"/>
                <w:color w:val="1f3864" w:themeColor="accent1" w:themeShade="80"/>
              </w:rPr>
            </w:pPr>
            <w:r>
              <w:rPr>
                <w:rFonts w:ascii="Calibri" w:hAnsi="Calibri"/>
                <w:color w:val="1f3864" w:themeColor="accent1" w:themeShade="80"/>
              </w:rPr>
              <w:t xml:space="preserve">Nombre del proyecto</w:t>
            </w:r>
            <w:r>
              <w:rPr>
                <w:rFonts w:ascii="Calibri" w:hAnsi="Calibri"/>
                <w:color w:val="1f3864" w:themeColor="accent1" w:themeShade="80"/>
              </w:rPr>
            </w:r>
          </w:p>
        </w:tc>
        <w:tc>
          <w:tcPr>
            <w:tcBorders/>
            <w:tcW w:w="6622" w:type="dxa"/>
            <w:vAlign w:val="center"/>
          </w:tcPr>
          <w:p w14:paraId="2FBC4413" w14:textId="77777777">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Plataforma de apoyo al Modelo de Prevención del Delito (MPD)</w:t>
            </w:r>
            <w:r>
              <w:rPr>
                <w:b/>
                <w:i w:val="0"/>
                <w:iCs w:val="0"/>
                <w:color w:val="000000" w:themeColor="text1"/>
                <w:sz w:val="22"/>
                <w:szCs w:val="22"/>
              </w:rPr>
            </w:r>
          </w:p>
        </w:tc>
      </w:tr>
      <w:tr>
        <w:trPr>
          <w:trHeight w:val="418"/>
        </w:trPr>
        <w:tc>
          <w:tcPr>
            <w:tcBorders/>
            <w:tcW w:w="3159" w:type="dxa"/>
            <w:vAlign w:val="center"/>
          </w:tcPr>
          <w:p w14:paraId="78D87DFF" w14:textId="77777777">
            <w:pPr>
              <w:spacing/>
              <w:ind/>
              <w:rPr>
                <w:rFonts w:ascii="Calibri" w:hAnsi="Calibri"/>
                <w:color w:val="1f3864" w:themeColor="accent1" w:themeShade="80"/>
              </w:rPr>
            </w:pPr>
            <w:r>
              <w:rPr>
                <w:rFonts w:ascii="Calibri" w:hAnsi="Calibri"/>
                <w:color w:val="1f3864" w:themeColor="accent1" w:themeShade="80"/>
              </w:rPr>
              <w:t xml:space="preserve">Área (s) de desempeño(s)</w:t>
            </w:r>
            <w:r>
              <w:rPr>
                <w:rFonts w:ascii="Calibri" w:hAnsi="Calibri"/>
                <w:color w:val="1f3864" w:themeColor="accent1" w:themeShade="80"/>
              </w:rPr>
            </w:r>
          </w:p>
        </w:tc>
        <w:tc>
          <w:tcPr>
            <w:tcBorders/>
            <w:tcW w:w="6622" w:type="dxa"/>
            <w:vAlign w:val="center"/>
          </w:tcPr>
          <w:p w14:paraId="2466888A" w14:textId="33BA552F">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Desarrollo de software.</w:t>
            </w:r>
            <w:r>
              <w:rPr>
                <w:rFonts w:ascii="Calibri" w:hAnsi="Calibri" w:cs="Arial"/>
                <w:i w:val="0"/>
                <w:iCs w:val="0"/>
                <w:color w:val="000000" w:themeColor="text1"/>
                <w:sz w:val="22"/>
                <w:szCs w:val="22"/>
                <w:lang w:eastAsia="es-CL"/>
              </w:rPr>
              <w:br/>
              <w:t xml:space="preserve">Ingeniería de sistemas y arquitectura de soluciones.</w:t>
            </w:r>
            <w:r>
              <w:rPr>
                <w:rFonts w:ascii="Calibri" w:hAnsi="Calibri" w:cs="Arial"/>
                <w:i w:val="0"/>
                <w:iCs w:val="0"/>
                <w:color w:val="000000" w:themeColor="text1"/>
                <w:sz w:val="22"/>
                <w:szCs w:val="22"/>
                <w:lang w:eastAsia="es-CL"/>
              </w:rPr>
              <w:br/>
              <w:t xml:space="preserve">Gestión de datos y analítica.</w:t>
            </w:r>
            <w:r>
              <w:rPr>
                <w:rFonts w:ascii="Calibri" w:hAnsi="Calibri" w:cs="Arial"/>
                <w:i w:val="0"/>
                <w:iCs w:val="0"/>
                <w:color w:val="000000" w:themeColor="text1"/>
                <w:sz w:val="22"/>
                <w:szCs w:val="22"/>
                <w:lang w:eastAsia="es-CL"/>
              </w:rPr>
              <w:br/>
              <w:t xml:space="preserve">Seguridad de la información y apoyo a la gestión organizacional.</w:t>
            </w:r>
            <w:r>
              <w:rPr>
                <w:b/>
                <w:i w:val="0"/>
                <w:iCs w:val="0"/>
                <w:color w:val="000000" w:themeColor="text1"/>
                <w:sz w:val="22"/>
                <w:szCs w:val="22"/>
              </w:rPr>
            </w:r>
          </w:p>
        </w:tc>
      </w:tr>
      <w:tr>
        <w:trPr>
          <w:trHeight w:val="425"/>
        </w:trPr>
        <w:tc>
          <w:tcPr>
            <w:tcBorders/>
            <w:tcW w:w="3159" w:type="dxa"/>
            <w:vAlign w:val="center"/>
          </w:tcPr>
          <w:p w14:paraId="2B4823B0" w14:textId="77777777">
            <w:pPr>
              <w:spacing/>
              <w:ind/>
              <w:rPr>
                <w:rFonts w:ascii="Calibri" w:hAnsi="Calibri"/>
                <w:color w:val="1f3864" w:themeColor="accent1" w:themeShade="80"/>
              </w:rPr>
            </w:pPr>
            <w:r>
              <w:rPr>
                <w:rFonts w:ascii="Calibri" w:hAnsi="Calibri"/>
                <w:color w:val="1f3864" w:themeColor="accent1" w:themeShade="80"/>
              </w:rPr>
              <w:t xml:space="preserve">Competencias </w:t>
            </w:r>
            <w:r>
              <w:rPr>
                <w:rFonts w:ascii="Calibri" w:hAnsi="Calibri"/>
                <w:color w:val="1f3864" w:themeColor="accent1" w:themeShade="80"/>
              </w:rPr>
            </w:r>
          </w:p>
          <w:p w14:paraId="098DE3BE" w14:textId="77777777">
            <w:pPr>
              <w:spacing/>
              <w:ind/>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tcBorders/>
            <w:tcW w:w="6622" w:type="dxa"/>
            <w:vAlign w:val="center"/>
          </w:tcPr>
          <w:p w14:paraId="2366AA78" w14:textId="433C129D">
            <w:pPr>
              <w:spacing/>
              <w:ind/>
              <w:rPr>
                <w:b/>
                <w:bCs w:val="0"/>
                <w:i w:val="0"/>
                <w:color w:val="000000" w:themeColor="text1"/>
                <w:sz w:val="22"/>
                <w:szCs w:val="22"/>
              </w:rPr>
            </w:pPr>
            <w:r>
              <w:rPr>
                <w:rFonts w:ascii="Calibri" w:hAnsi="Calibri" w:cs="Arial"/>
                <w:i w:val="0"/>
                <w:iCs w:val="0"/>
                <w:color w:val="000000" w:themeColor="text1"/>
                <w:sz w:val="22"/>
                <w:szCs w:val="22"/>
                <w:lang w:eastAsia="es-CL"/>
              </w:rPr>
              <w:t xml:space="preserve">Levantamiento y análisis de requerimientos; desarrollo, adaptación e integració</w:t>
            </w:r>
            <w:r>
              <w:rPr>
                <w:rFonts w:ascii="Calibri" w:hAnsi="Calibri" w:cs="Arial"/>
                <w:i w:val="0"/>
                <w:iCs w:val="0"/>
                <w:color w:val="000000" w:themeColor="text1"/>
                <w:sz w:val="22"/>
                <w:szCs w:val="22"/>
                <w:lang w:eastAsia="es-CL"/>
              </w:rPr>
              <w:t xml:space="preserve">n de sistemas computacionales; integración de tecnologías de información; desarrollo de soluciones tecnológicas; seguridad de sistemas computacionales; aseguramiento de la calidad del software; gestión de proyectos informáticos y gestión de la información.</w:t>
            </w:r>
            <w:r>
              <w:rPr>
                <w:b/>
                <w:i w:val="0"/>
                <w:iCs w:val="0"/>
                <w:color w:val="000000" w:themeColor="text1"/>
                <w:sz w:val="22"/>
                <w:szCs w:val="22"/>
              </w:rPr>
            </w:r>
          </w:p>
        </w:tc>
      </w:tr>
    </w:tbl>
    <w:p w14:paraId="00010BC5" w14:textId="77777777">
      <w:pPr>
        <w:spacing/>
        <w:ind/>
        <w:rPr>
          <w:b/>
        </w:rPr>
      </w:pPr>
      <w:r>
        <w:rPr>
          <w:b/>
        </w:rPr>
      </w:r>
      <w:r>
        <w:rPr>
          <w:b/>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trPr>
          <w:trHeight w:val="388"/>
        </w:trPr>
        <w:tc>
          <w:tcPr>
            <w:gridSpan w:val="2"/>
            <w:shd w:val="clear" w:color="auto" w:fill="d9d9d9" w:themeFill="background1" w:themeFillShade="D9"/>
            <w:tcBorders/>
            <w:tcW w:w="9781" w:type="dxa"/>
            <w:vAlign w:val="center"/>
          </w:tcPr>
          <w:p w14:paraId="2A9DBAC8" w14:textId="13301F28">
            <w:pPr>
              <w:spacing/>
              <w:ind/>
              <w:rPr>
                <w:b/>
              </w:rPr>
            </w:pPr>
            <w:r>
              <w:rPr>
                <w:rFonts w:ascii="Calibri" w:hAnsi="Calibri"/>
                <w:b/>
                <w:color w:val="1f3864" w:themeColor="accent1" w:themeShade="80"/>
                <w:sz w:val="18"/>
              </w:rPr>
              <w:t xml:space="preserve">Contenidos de</w:t>
            </w:r>
            <w:r>
              <w:rPr>
                <w:rFonts w:ascii="Calibri" w:hAnsi="Calibri"/>
                <w:b/>
                <w:color w:val="1f3864" w:themeColor="accent1" w:themeShade="80"/>
                <w:sz w:val="18"/>
              </w:rPr>
              <w:t xml:space="preserve">l informe f</w:t>
            </w:r>
            <w:r>
              <w:rPr>
                <w:rFonts w:ascii="Calibri" w:hAnsi="Calibri"/>
                <w:b/>
                <w:color w:val="1f3864" w:themeColor="accent1" w:themeShade="80"/>
                <w:sz w:val="18"/>
              </w:rPr>
              <w:t xml:space="preserve">inal</w:t>
            </w:r>
            <w:r>
              <w:rPr>
                <w:b/>
              </w:rPr>
            </w:r>
          </w:p>
        </w:tc>
      </w:tr>
      <w:tr>
        <w:trPr>
          <w:trHeight w:val="2266"/>
        </w:trPr>
        <w:tc>
          <w:tcPr>
            <w:tcBorders/>
            <w:tcW w:w="3001" w:type="dxa"/>
            <w:vAlign w:val="center"/>
          </w:tcPr>
          <w:p w14:paraId="7FEF913E" w14:textId="03D250DF">
            <w:pPr>
              <w:spacing/>
              <w:ind/>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 xml:space="preserve">Relevancia del proyecto APT</w:t>
            </w:r>
            <w:r>
              <w:rPr>
                <w:rFonts w:ascii="Calibri" w:hAnsi="Calibri"/>
                <w:color w:val="1f3864" w:themeColor="accent1" w:themeShade="80"/>
                <w:sz w:val="18"/>
              </w:rPr>
            </w:r>
          </w:p>
        </w:tc>
        <w:tc>
          <w:tcPr>
            <w:tcBorders/>
            <w:tcW w:w="6780" w:type="dxa"/>
            <w:vAlign w:val="center"/>
          </w:tcPr>
          <w:p w14:paraId="5FB7F71E" w14:textId="09D9C45D">
            <w:pPr>
              <w:pStyle w:val="787"/>
              <w:spacing w:after="0" w:afterAutospacing="0" w:before="0" w:beforeAutospacing="0"/>
              <w:ind w:firstLine="0" w:left="0"/>
              <w:jc w:val="both"/>
              <w:rPr>
                <w:rFonts w:ascii="Segoe UI" w:hAnsi="Segoe UI" w:cs="Segoe UI"/>
                <w:bCs w:val="0"/>
                <w:i w:val="0"/>
                <w:color w:val="000000" w:themeColor="text1"/>
                <w:sz w:val="22"/>
                <w:szCs w:val="22"/>
              </w:rPr>
            </w:pPr>
            <w:r>
              <w:rPr>
                <w:rStyle w:val="788"/>
                <w:rFonts w:ascii="Calibri" w:hAnsi="Calibri" w:cs="Calibri"/>
                <w:i w:val="0"/>
                <w:iCs w:val="0"/>
                <w:color w:val="000000" w:themeColor="text1"/>
                <w:sz w:val="22"/>
                <w:szCs w:val="22"/>
              </w:rPr>
              <w:t xml:space="preserve">La Ley 20.393, en su art. 3 inc. 3, no exime de responsabilidad a una organización por tener un Modelo de Prevención del Delito: la exime si ese modelo fue «adoptado e implementado» antes de la comisión del delito. La Ley 21.595 endure</w:t>
            </w:r>
            <w:r>
              <w:rPr>
                <w:rStyle w:val="788"/>
                <w:rFonts w:ascii="Calibri" w:hAnsi="Calibri" w:cs="Calibri"/>
                <w:i w:val="0"/>
                <w:iCs w:val="0"/>
                <w:color w:val="000000" w:themeColor="text1"/>
                <w:sz w:val="22"/>
                <w:szCs w:val="22"/>
              </w:rPr>
              <w:t xml:space="preserve">ció esa exigencia y amplió el catálogo de delitos. El problema que el proyecto aborda es, entonces, la distancia entre tener un modelo y poder acreditar que operó: el modelo de papel, es decir, políticas firmadas que no vigilaron nada el día que importaba.</w:t>
            </w:r>
            <w:r>
              <w:rPr>
                <w:rStyle w:val="788"/>
                <w:rFonts w:ascii="Calibri" w:hAnsi="Calibri" w:cs="Calibri"/>
                <w:i w:val="0"/>
                <w:iCs w:val="0"/>
                <w:color w:val="000000" w:themeColor="text1"/>
                <w:sz w:val="22"/>
                <w:szCs w:val="22"/>
              </w:rPr>
              <w:br/>
              <w:t xml:space="preserve">Esa dist</w:t>
            </w:r>
            <w:r>
              <w:rPr>
                <w:rStyle w:val="788"/>
                <w:rFonts w:ascii="Calibri" w:hAnsi="Calibri" w:cs="Calibri"/>
                <w:i w:val="0"/>
                <w:iCs w:val="0"/>
                <w:color w:val="000000" w:themeColor="text1"/>
                <w:sz w:val="22"/>
                <w:szCs w:val="22"/>
              </w:rPr>
              <w:t xml:space="preserve">ancia es un problema informático y no sólo jurídico. Acreditar que un modelo operó exige registrar qué se vigiló, cuándo, con qué criterio, quién lo revisó y qué se decidió. Es un problema de trazabilidad, de modelado de datos y de integridad de registros.</w:t>
            </w:r>
            <w:r>
              <w:rPr>
                <w:rStyle w:val="788"/>
                <w:rFonts w:ascii="Calibri" w:hAnsi="Calibri" w:cs="Calibri"/>
                <w:i w:val="0"/>
                <w:iCs w:val="0"/>
                <w:color w:val="000000" w:themeColor="text1"/>
                <w:sz w:val="22"/>
                <w:szCs w:val="22"/>
              </w:rPr>
              <w:br/>
              <w:t xml:space="preserve">Afecta al encargado de cumplimiento, que responde por la efectividad del modelo; a las jefaturas y a administración y finanzas, cuyos procesos son los vigilados; y a los auditores internos y externos. La Ley 21.595 con</w:t>
            </w:r>
            <w:r>
              <w:rPr>
                <w:rStyle w:val="788"/>
                <w:rFonts w:ascii="Calibri" w:hAnsi="Calibri" w:cs="Calibri"/>
                <w:i w:val="0"/>
                <w:iCs w:val="0"/>
                <w:color w:val="000000" w:themeColor="text1"/>
                <w:sz w:val="22"/>
                <w:szCs w:val="22"/>
              </w:rPr>
              <w:t xml:space="preserve">virtió además al evaluador externo en un requisito legal y no en una figura narrativa: el art. 4 reformado exige evaluaciones periódicas del modelo por terceros independientes, lo que hace del documento legible por un auditor una obligación y no un adorno.</w:t>
            </w:r>
            <w:r>
              <w:rPr>
                <w:rStyle w:val="788"/>
                <w:rFonts w:ascii="Calibri" w:hAnsi="Calibri" w:cs="Calibri"/>
                <w:i w:val="0"/>
                <w:iCs w:val="0"/>
                <w:color w:val="000000" w:themeColor="text1"/>
                <w:sz w:val="22"/>
                <w:szCs w:val="22"/>
              </w:rPr>
              <w:br/>
              <w:t xml:space="preserve">Para la profesión informá</w:t>
            </w:r>
            <w:r>
              <w:rPr>
                <w:rStyle w:val="788"/>
                <w:rFonts w:ascii="Calibri" w:hAnsi="Calibri" w:cs="Calibri"/>
                <w:i w:val="0"/>
                <w:iCs w:val="0"/>
                <w:color w:val="000000" w:themeColor="text1"/>
                <w:sz w:val="22"/>
                <w:szCs w:val="22"/>
              </w:rPr>
              <w:t xml:space="preserve">tica el tema es relevante porque el cumplimiento normativo dejó de ser un asunto de documentos y pasó a requerir software: modelado de datos, automatización de procesos, analítica y seguridad de la información, en un dominio con demanda creciente en Chile.</w:t>
            </w:r>
            <w:r>
              <w:rPr>
                <w:rFonts w:ascii="Segoe UI" w:hAnsi="Segoe UI" w:cs="Segoe UI"/>
                <w:i w:val="0"/>
                <w:iCs w:val="0"/>
                <w:color w:val="000000" w:themeColor="text1"/>
                <w:sz w:val="22"/>
                <w:szCs w:val="22"/>
              </w:rPr>
            </w:r>
          </w:p>
        </w:tc>
      </w:tr>
      <w:tr>
        <w:trPr>
          <w:trHeight w:val="838"/>
        </w:trPr>
        <w:tc>
          <w:tcPr>
            <w:tcBorders/>
            <w:tcW w:w="3001" w:type="dxa"/>
            <w:vAlign w:val="center"/>
          </w:tcPr>
          <w:p w14:paraId="4D8E3090" w14:textId="368322B4">
            <w:pPr>
              <w:spacing/>
              <w:ind/>
              <w:rPr>
                <w:rFonts w:ascii="Calibri" w:hAnsi="Calibri"/>
                <w:color w:val="1f3864" w:themeColor="accent1" w:themeShade="80"/>
                <w:sz w:val="18"/>
              </w:rPr>
            </w:pPr>
            <w:r>
              <w:rPr>
                <w:rFonts w:ascii="Calibri" w:hAnsi="Calibri"/>
                <w:color w:val="1f3864" w:themeColor="accent1" w:themeShade="80"/>
                <w:sz w:val="18"/>
              </w:rPr>
              <w:t xml:space="preserve">2. Objetivos </w:t>
            </w:r>
            <w:r>
              <w:rPr>
                <w:rFonts w:ascii="Calibri" w:hAnsi="Calibri"/>
                <w:color w:val="1f3864" w:themeColor="accent1" w:themeShade="80"/>
                <w:sz w:val="18"/>
              </w:rPr>
            </w:r>
          </w:p>
        </w:tc>
        <w:tc>
          <w:tcPr>
            <w:tcBorders/>
            <w:tcW w:w="6780" w:type="dxa"/>
            <w:vAlign w:val="center"/>
          </w:tcPr>
          <w:p w14:paraId="62E9D30F" w14:textId="77777777">
            <w:pPr>
              <w:spacing w:after="0" w:line="240" w:lineRule="auto"/>
              <w:ind w:firstLine="0" w:left="0"/>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Objetivo general</w:t>
            </w:r>
            <w:r>
              <w:rPr>
                <w:rFonts w:ascii="Calibri" w:hAnsi="Calibri" w:cs="Arial"/>
                <w:i w:val="0"/>
                <w:iCs w:val="0"/>
                <w:color w:val="000000" w:themeColor="text1"/>
                <w:sz w:val="22"/>
                <w:szCs w:val="22"/>
                <w:lang w:eastAsia="es-CL"/>
              </w:rPr>
              <w:br/>
              <w:t xml:space="preserve">Diseñar e implementar un prototipo funcional de plataforma web que apoye la implementación efectiva del Modelo de Prevención del Delito en una organizació</w:t>
            </w:r>
            <w:r>
              <w:rPr>
                <w:rFonts w:ascii="Calibri" w:hAnsi="Calibri" w:cs="Arial"/>
                <w:i w:val="0"/>
                <w:iCs w:val="0"/>
                <w:color w:val="000000" w:themeColor="text1"/>
                <w:sz w:val="22"/>
                <w:szCs w:val="22"/>
                <w:lang w:eastAsia="es-CL"/>
              </w:rPr>
              <w:t xml:space="preserve">n privada chilena, mediante un motor de controles configurable que detecte circunstancias objetivas correlacionadas con delitos del catálogo de la Ley 20.393, y que entregue por cada alerta una explicación auditable que sustente la decisión de una persona.</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Objetivos específicos y su estado</w:t>
            </w:r>
            <w:r>
              <w:rPr>
                <w:rFonts w:ascii="Calibri" w:hAnsi="Calibri" w:cs="Arial"/>
                <w:i w:val="0"/>
                <w:iCs w:val="0"/>
                <w:color w:val="000000" w:themeColor="text1"/>
                <w:sz w:val="22"/>
                <w:szCs w:val="22"/>
                <w:lang w:eastAsia="es-CL"/>
              </w:rPr>
              <w:br/>
              <w:t xml:space="preserve">1. Derivar con</w:t>
            </w:r>
            <w:r>
              <w:rPr>
                <w:rFonts w:ascii="Calibri" w:hAnsi="Calibri" w:cs="Arial"/>
                <w:i w:val="0"/>
                <w:iCs w:val="0"/>
                <w:color w:val="000000" w:themeColor="text1"/>
                <w:sz w:val="22"/>
                <w:szCs w:val="22"/>
                <w:lang w:eastAsia="es-CL"/>
              </w:rPr>
              <w:t xml:space="preserve">troles desde el texto legal aplicando la cadena delito → conducta típica → rastro → dato observable → señal → control, sobre al menos dos delitos. CUMPLIDO: corrupción entre particulares (CP art. 287 bis y 287 ter) y lavado de activos (Ley 19.913 art. 27).</w:t>
            </w:r>
            <w:r>
              <w:rPr>
                <w:rFonts w:ascii="Calibri" w:hAnsi="Calibri" w:cs="Arial"/>
                <w:i w:val="0"/>
                <w:iCs w:val="0"/>
                <w:color w:val="000000" w:themeColor="text1"/>
                <w:sz w:val="22"/>
                <w:szCs w:val="22"/>
                <w:lang w:eastAsia="es-CL"/>
              </w:rPr>
              <w:br/>
              <w:t xml:space="preserve">2. Modelar e implementar el motor en tres capas, de modo que incorporar un delito sea configuración y no código. CUMPLIDO: 11 tablas de dominio y un motor que no contiene lógica por control.</w:t>
            </w:r>
            <w:r>
              <w:rPr>
                <w:rFonts w:ascii="Calibri" w:hAnsi="Calibri" w:cs="Arial"/>
                <w:i w:val="0"/>
                <w:iCs w:val="0"/>
                <w:color w:val="000000" w:themeColor="text1"/>
                <w:sz w:val="22"/>
                <w:szCs w:val="22"/>
                <w:lang w:eastAsia="es-CL"/>
              </w:rPr>
              <w:br/>
              <w:t xml:space="preserve">3. Garantizar la explicabilidad por construcción. CUMPLIDO: el puntuador devuelve siempre puntaje y desglose, verificado por el compilador.</w:t>
            </w:r>
            <w:r>
              <w:rPr>
                <w:rFonts w:ascii="Calibri" w:hAnsi="Calibri" w:cs="Arial"/>
                <w:i w:val="0"/>
                <w:iCs w:val="0"/>
                <w:color w:val="000000" w:themeColor="text1"/>
                <w:sz w:val="22"/>
                <w:szCs w:val="22"/>
                <w:lang w:eastAsia="es-CL"/>
              </w:rPr>
              <w:br/>
              <w:t xml:space="preserve">4. Implementar el flujo del encargado sobre un registro que no admita reescritura. CUMPLIDO: revisión de solo anexión y cierre con justificación obligatoria.</w:t>
            </w:r>
            <w:r>
              <w:rPr>
                <w:rFonts w:ascii="Calibri" w:hAnsi="Calibri" w:cs="Arial"/>
                <w:i w:val="0"/>
                <w:iCs w:val="0"/>
                <w:color w:val="000000" w:themeColor="text1"/>
                <w:sz w:val="22"/>
                <w:szCs w:val="22"/>
                <w:lang w:eastAsia="es-CL"/>
              </w:rPr>
              <w:br/>
              <w:t xml:space="preserve">5. Construir un instrumento de evaluación con datos etiquetados y declarar sus limitaciones. CUMPLIDO PARCIALMENTE: tres de las cuatro contramedidas contra la evaluación circular están implementadas; la cuarta exige un tercero ajeno al equipo.</w:t>
            </w:r>
            <w:r>
              <w:rPr>
                <w:rFonts w:ascii="Calibri" w:hAnsi="Calibri" w:cs="Arial"/>
                <w:i w:val="0"/>
                <w:iCs w:val="0"/>
                <w:color w:val="000000" w:themeColor="text1"/>
                <w:sz w:val="22"/>
                <w:szCs w:val="22"/>
                <w:lang w:eastAsia="es-CL"/>
              </w:rPr>
              <w:br/>
              <w:t xml:space="preserve">6. Permitir que el encargado defina un control sin desarrollador. CUMPLIDO: interfaz de autoría operativa desde el 15 de octubre, tres semanas antes de su fecha de corte comprometida.</w:t>
            </w:r>
            <w:r>
              <w:rPr>
                <w:rFonts w:ascii="Calibri" w:hAnsi="Calibri" w:cs="Arial"/>
                <w:i w:val="0"/>
                <w:iCs w:val="0"/>
                <w:color w:val="000000" w:themeColor="text1"/>
                <w:sz w:val="22"/>
                <w:szCs w:val="22"/>
                <w:lang w:eastAsia="es-CL"/>
              </w:rPr>
            </w:r>
          </w:p>
        </w:tc>
      </w:tr>
      <w:tr>
        <w:trPr/>
        <w:tc>
          <w:tcPr>
            <w:tcBorders/>
            <w:tcW w:w="3001" w:type="dxa"/>
            <w:vAlign w:val="center"/>
          </w:tcPr>
          <w:p w14:paraId="0053AC5B" w14:textId="77777777">
            <w:pPr>
              <w:spacing/>
              <w:ind/>
              <w:rPr>
                <w:rFonts w:ascii="Calibri" w:hAnsi="Calibri"/>
                <w:color w:val="1f3864" w:themeColor="accent1" w:themeShade="80"/>
                <w:sz w:val="18"/>
              </w:rPr>
            </w:pPr>
            <w:r>
              <w:rPr>
                <w:rFonts w:ascii="Calibri" w:hAnsi="Calibri"/>
                <w:color w:val="1f3864" w:themeColor="accent1" w:themeShade="80"/>
                <w:sz w:val="18"/>
              </w:rPr>
              <w:t xml:space="preserve">3. Metodología</w:t>
            </w:r>
            <w:r>
              <w:rPr>
                <w:rFonts w:ascii="Calibri" w:hAnsi="Calibri"/>
                <w:color w:val="1f3864" w:themeColor="accent1" w:themeShade="80"/>
                <w:sz w:val="18"/>
              </w:rPr>
            </w:r>
          </w:p>
        </w:tc>
        <w:tc>
          <w:tcPr>
            <w:tcBorders/>
            <w:tcW w:w="6780" w:type="dxa"/>
            <w:vAlign w:val="center"/>
          </w:tcPr>
          <w:p w14:paraId="2507DAEE" w14:textId="77777777">
            <w:pPr>
              <w:spacing w:after="0" w:line="240" w:lineRule="auto"/>
              <w:ind w:firstLine="0" w:left="0"/>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El proyecto se desarrolló de forma incremental en fases, con dos reglas fijadas por escrito antes de escribir código.</w:t>
            </w:r>
            <w:r>
              <w:rPr>
                <w:rFonts w:ascii="Calibri" w:hAnsi="Calibri" w:cs="Arial"/>
                <w:i w:val="0"/>
                <w:iCs w:val="0"/>
                <w:color w:val="000000" w:themeColor="text1"/>
                <w:sz w:val="22"/>
                <w:szCs w:val="22"/>
                <w:lang w:eastAsia="es-CL"/>
              </w:rPr>
              <w:br/>
              <w:t xml:space="preserve">La primera fue comprometer el alcance en un documento con fechas de corte, para contener el r</w:t>
            </w:r>
            <w:r>
              <w:rPr>
                <w:rFonts w:ascii="Calibri" w:hAnsi="Calibri" w:cs="Arial"/>
                <w:i w:val="0"/>
                <w:iCs w:val="0"/>
                <w:color w:val="000000" w:themeColor="text1"/>
                <w:sz w:val="22"/>
                <w:szCs w:val="22"/>
                <w:lang w:eastAsia="es-CL"/>
              </w:rPr>
              <w:t xml:space="preserve">iesgo que el propio equipo identificó como el más probable: la muerte por amplitud, iniciar muchos módulos y terminar ninguno. Ese documento declara explícitamente qué queda fuera y por qué, y convierte cada ampliación posterior en una enmienda consciente.</w:t>
            </w:r>
            <w:r>
              <w:rPr>
                <w:rFonts w:ascii="Calibri" w:hAnsi="Calibri" w:cs="Arial"/>
                <w:i w:val="0"/>
                <w:iCs w:val="0"/>
                <w:color w:val="000000" w:themeColor="text1"/>
                <w:sz w:val="22"/>
                <w:szCs w:val="22"/>
                <w:lang w:eastAsia="es-CL"/>
              </w:rPr>
              <w:br/>
              <w:t xml:space="preserve">La segunda fue construir un recorrido verti</w:t>
            </w:r>
            <w:r>
              <w:rPr>
                <w:rFonts w:ascii="Calibri" w:hAnsi="Calibri" w:cs="Arial"/>
                <w:i w:val="0"/>
                <w:iCs w:val="0"/>
                <w:color w:val="000000" w:themeColor="text1"/>
                <w:sz w:val="22"/>
                <w:szCs w:val="22"/>
                <w:lang w:eastAsia="es-CL"/>
              </w:rPr>
              <w:t xml:space="preserve">cal completo antes de ensanchar cualquier capa: ingesta, puntuación, explicación, revisión y cierre funcionando de extremo a extremo con una sola señal, antes de agregar la segunda. Un catálogo de señales extenso sin pantalla de revisión no demuestra nada.</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El aporte metodológico es la cadena de derivación, que traduce el texto legal en código verificable:</w:t>
            </w:r>
            <w:r>
              <w:rPr>
                <w:rFonts w:ascii="Calibri" w:hAnsi="Calibri" w:cs="Arial"/>
                <w:i w:val="0"/>
                <w:iCs w:val="0"/>
                <w:color w:val="000000" w:themeColor="text1"/>
                <w:sz w:val="22"/>
                <w:szCs w:val="22"/>
                <w:lang w:eastAsia="es-CL"/>
              </w:rPr>
              <w:br/>
              <w:t xml:space="preserve">delito (ley) → conducta típica → rastro que deja → dato observable → señal → control</w:t>
            </w:r>
            <w:r>
              <w:rPr>
                <w:rFonts w:ascii="Calibri" w:hAnsi="Calibri" w:cs="Arial"/>
                <w:i w:val="0"/>
                <w:iCs w:val="0"/>
                <w:color w:val="000000" w:themeColor="text1"/>
                <w:sz w:val="22"/>
                <w:szCs w:val="22"/>
                <w:lang w:eastAsia="es-CL"/>
              </w:rPr>
              <w:br/>
              <w:t xml:space="preserve">Su pertinencia quedó demostrada porque no confirmó el diseño previo: lo corrigió tres veces. El delito pertinente resultó s</w:t>
            </w:r>
            <w:r>
              <w:rPr>
                <w:rFonts w:ascii="Calibri" w:hAnsi="Calibri" w:cs="Arial"/>
                <w:i w:val="0"/>
                <w:iCs w:val="0"/>
                <w:color w:val="000000" w:themeColor="text1"/>
                <w:sz w:val="22"/>
                <w:szCs w:val="22"/>
                <w:lang w:eastAsia="es-CL"/>
              </w:rPr>
              <w:t xml:space="preserve">er corrupción entre particulares y no soborno y cohecho, porque la organización modelada es privada y no interviene un funcionario público. El ancla legal del deber de dirección y supervisión es el art. 3 inc. 3 y no el art. 4. Y la cadena obligó a incorpo</w:t>
            </w:r>
            <w:r>
              <w:rPr>
                <w:rFonts w:ascii="Calibri" w:hAnsi="Calibri" w:cs="Arial"/>
                <w:i w:val="0"/>
                <w:iCs w:val="0"/>
                <w:color w:val="000000" w:themeColor="text1"/>
                <w:sz w:val="22"/>
                <w:szCs w:val="22"/>
                <w:lang w:eastAsia="es-CL"/>
              </w:rPr>
              <w:t xml:space="preserve">rar una señal que el diseño no contemplaba, adjudicación sin competencia, al constatar que el art. 287 bis castiga favorecer «la contratación con un oferente sobre otro»: la conducta típica ocurre en la elección del proveedor y no en el monto de la compra.</w:t>
            </w:r>
            <w:r>
              <w:rPr>
                <w:rFonts w:ascii="Calibri" w:hAnsi="Calibri" w:cs="Arial"/>
                <w:i w:val="0"/>
                <w:iCs w:val="0"/>
                <w:color w:val="000000" w:themeColor="text1"/>
                <w:sz w:val="22"/>
                <w:szCs w:val="22"/>
                <w:lang w:eastAsia="es-CL"/>
              </w:rPr>
              <w:br/>
              <w:t xml:space="preserve">Que un método obligue a corregir el diseño de quien lo aplica es la evidencia de que el método funciona, y se reporta como tal.</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La evaluación se realizó con datos si</w:t>
            </w:r>
            <w:r>
              <w:rPr>
                <w:rFonts w:ascii="Calibri" w:hAnsi="Calibri" w:cs="Arial"/>
                <w:i w:val="0"/>
                <w:iCs w:val="0"/>
                <w:color w:val="000000" w:themeColor="text1"/>
                <w:sz w:val="22"/>
                <w:szCs w:val="22"/>
                <w:lang w:eastAsia="es-CL"/>
              </w:rPr>
              <w:t xml:space="preserve">ntéticos con verdad fundamental, porque los datos reales no tienen etiquetas y sin etiquetas no hay precisión ni recall que medir. Las etiquetas se mantienen fuera del archivo que el sistema ingiere: si fueran ingeribles, la evaluación estaría contaminada.</w:t>
            </w:r>
            <w:r>
              <w:rPr>
                <w:rFonts w:ascii="Calibri" w:hAnsi="Calibri" w:cs="Arial"/>
                <w:i w:val="0"/>
                <w:iCs w:val="0"/>
                <w:color w:val="000000" w:themeColor="text1"/>
                <w:sz w:val="22"/>
                <w:szCs w:val="22"/>
                <w:lang w:eastAsia="es-CL"/>
              </w:rPr>
            </w:r>
          </w:p>
        </w:tc>
      </w:tr>
      <w:tr>
        <w:trPr>
          <w:trHeight w:val="2117"/>
        </w:trPr>
        <w:tc>
          <w:tcPr>
            <w:tcBorders/>
            <w:tcW w:w="3001" w:type="dxa"/>
            <w:vAlign w:val="center"/>
          </w:tcPr>
          <w:p w14:paraId="12455E29" w14:textId="77777777">
            <w:pPr>
              <w:spacing/>
              <w:ind/>
              <w:rPr>
                <w:rFonts w:ascii="Calibri" w:hAnsi="Calibri"/>
                <w:color w:val="1f3864" w:themeColor="accent1" w:themeShade="80"/>
                <w:sz w:val="18"/>
              </w:rPr>
            </w:pPr>
            <w:r>
              <w:rPr>
                <w:rFonts w:ascii="Calibri" w:hAnsi="Calibri"/>
                <w:color w:val="1f3864" w:themeColor="accent1" w:themeShade="80"/>
                <w:sz w:val="18"/>
              </w:rPr>
              <w:t xml:space="preserve">4. Desarrollo</w:t>
            </w:r>
            <w:r>
              <w:rPr>
                <w:rFonts w:ascii="Calibri" w:hAnsi="Calibri"/>
                <w:color w:val="1f3864" w:themeColor="accent1" w:themeShade="80"/>
                <w:sz w:val="18"/>
              </w:rPr>
            </w:r>
          </w:p>
        </w:tc>
        <w:tc>
          <w:tcPr>
            <w:tcBorders/>
            <w:tcW w:w="6780" w:type="dxa"/>
            <w:vAlign w:val="center"/>
          </w:tcPr>
          <w:p w14:paraId="0A39F3E2" w14:textId="6A2D2466">
            <w:pPr>
              <w:spacing w:after="0" w:line="240" w:lineRule="auto"/>
              <w:ind w:firstLine="0" w:left="0"/>
              <w:jc w:val="both"/>
              <w:rPr>
                <w:rFonts w:ascii="Calibri" w:hAnsi="Calibri" w:cs="Arial"/>
                <w:bCs w:val="0"/>
                <w:i w:val="0"/>
                <w:color w:val="000000" w:themeColor="text1"/>
                <w:sz w:val="22"/>
                <w:szCs w:val="22"/>
              </w:rPr>
            </w:pPr>
            <w:r>
              <w:rPr>
                <w:rFonts w:ascii="Calibri" w:hAnsi="Calibri" w:cs="Arial"/>
                <w:i w:val="0"/>
                <w:iCs w:val="0"/>
                <w:color w:val="000000" w:themeColor="text1"/>
                <w:sz w:val="22"/>
                <w:szCs w:val="22"/>
                <w:lang w:eastAsia="es-CL"/>
              </w:rPr>
              <w:t xml:space="preserve">Etapas efectivamente desarrolladas, con fecha verificable en el repositorio:</w:t>
            </w:r>
            <w:r>
              <w:rPr>
                <w:rFonts w:ascii="Calibri" w:hAnsi="Calibri" w:cs="Arial"/>
                <w:i w:val="0"/>
                <w:iCs w:val="0"/>
                <w:color w:val="000000" w:themeColor="text1"/>
                <w:sz w:val="22"/>
                <w:szCs w:val="22"/>
                <w:lang w:eastAsia="es-CL"/>
              </w:rPr>
              <w:br/>
              <w:t xml:space="preserve">• Pre-compromisos (12 de septiembre). Alcance comprometido por escrito y fechas de corte fijadas antes de construir.</w:t>
            </w:r>
            <w:r>
              <w:rPr>
                <w:rFonts w:ascii="Calibri" w:hAnsi="Calibri" w:cs="Arial"/>
                <w:i w:val="0"/>
                <w:iCs w:val="0"/>
                <w:color w:val="000000" w:themeColor="text1"/>
                <w:sz w:val="22"/>
                <w:szCs w:val="22"/>
                <w:lang w:eastAsia="es-CL"/>
              </w:rPr>
              <w:br/>
              <w:t xml:space="preserve">• Derivación legal (24 de septiembre). Dos delitos recorridos por la cadena; cuatro señales para el recorrido vertical y tres candidatas identificadas pero no implementadas.</w:t>
            </w:r>
            <w:r>
              <w:rPr>
                <w:rFonts w:ascii="Calibri" w:hAnsi="Calibri" w:cs="Arial"/>
                <w:i w:val="0"/>
                <w:iCs w:val="0"/>
                <w:color w:val="000000" w:themeColor="text1"/>
                <w:sz w:val="22"/>
                <w:szCs w:val="22"/>
                <w:lang w:eastAsia="es-CL"/>
              </w:rPr>
              <w:br/>
              <w:t xml:space="preserve">• Columna del dominio y contrato del puntuador (6 de octubre). Once tablas de dominio y el puntuador con desglose obligatorio.</w:t>
            </w:r>
            <w:r>
              <w:rPr>
                <w:rFonts w:ascii="Calibri" w:hAnsi="Calibri" w:cs="Arial"/>
                <w:i w:val="0"/>
                <w:iCs w:val="0"/>
                <w:color w:val="000000" w:themeColor="text1"/>
                <w:sz w:val="22"/>
                <w:szCs w:val="22"/>
                <w:lang w:eastAsia="es-CL"/>
              </w:rPr>
              <w:br/>
              <w:t xml:space="preserve">• Dataset de evaluación (6 de octubre). 34 filas, nueve plantadas, con su verdad fundamental en archivo separado, construido antes del código que lo lee.</w:t>
            </w:r>
            <w:r>
              <w:rPr>
                <w:rFonts w:ascii="Calibri" w:hAnsi="Calibri" w:cs="Arial"/>
                <w:i w:val="0"/>
                <w:iCs w:val="0"/>
                <w:color w:val="000000" w:themeColor="text1"/>
                <w:sz w:val="22"/>
                <w:szCs w:val="22"/>
                <w:lang w:eastAsia="es-CL"/>
              </w:rPr>
              <w:br/>
              <w:t xml:space="preserve">• Recorrido vertical (6 de octubre). Ingesta, puntuación, explicación, revisión y cierre de extremo a extremo.</w:t>
            </w:r>
            <w:r>
              <w:rPr>
                <w:rFonts w:ascii="Calibri" w:hAnsi="Calibri" w:cs="Arial"/>
                <w:i w:val="0"/>
                <w:iCs w:val="0"/>
                <w:color w:val="000000" w:themeColor="text1"/>
                <w:sz w:val="22"/>
                <w:szCs w:val="22"/>
                <w:lang w:eastAsia="es-CL"/>
              </w:rPr>
              <w:br/>
              <w:t xml:space="preserve">• Instrumento de evaluación (8 de octubre). Métricas por control y tres de las cuatro contramedidas de circularidad.</w:t>
            </w:r>
            <w:r>
              <w:rPr>
                <w:rFonts w:ascii="Calibri" w:hAnsi="Calibri" w:cs="Arial"/>
                <w:i w:val="0"/>
                <w:iCs w:val="0"/>
                <w:color w:val="000000" w:themeColor="text1"/>
                <w:sz w:val="22"/>
                <w:szCs w:val="22"/>
                <w:lang w:eastAsia="es-CL"/>
              </w:rPr>
              <w:br/>
              <w:t xml:space="preserve">• Interfaz de autoría (15 de octubre). Definición de controles sin código, con validación que rechaza lo que el motor no podría ejecutar.</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Dificultades y cómo se resolvieron</w:t>
            </w:r>
            <w:r>
              <w:rPr>
                <w:rFonts w:ascii="Calibri" w:hAnsi="Calibri" w:cs="Arial"/>
                <w:i w:val="0"/>
                <w:iCs w:val="0"/>
                <w:color w:val="000000" w:themeColor="text1"/>
                <w:sz w:val="22"/>
                <w:szCs w:val="22"/>
                <w:lang w:eastAsia="es-CL"/>
              </w:rPr>
              <w:br/>
              <w:t xml:space="preserve">• La complejidad jurídica obligó a verificar cada cita contra su fuente. Ese trabajo detectó dos errores en la propuesta original. Costó más tiempo del estimado y se asumió como parte del aporte.</w:t>
            </w:r>
            <w:r>
              <w:rPr>
                <w:rFonts w:ascii="Calibri" w:hAnsi="Calibri" w:cs="Arial"/>
                <w:i w:val="0"/>
                <w:iCs w:val="0"/>
                <w:color w:val="000000" w:themeColor="text1"/>
                <w:sz w:val="22"/>
                <w:szCs w:val="22"/>
                <w:lang w:eastAsia="es-CL"/>
              </w:rPr>
              <w:br/>
              <w:t xml:space="preserve">• La ausencia de datos reales etiquetados impedía medir desempeño. Se resolvió construyendo un instrumento propio y declarando sus límites, en lugar de omitir la medición.</w:t>
            </w:r>
            <w:r>
              <w:rPr>
                <w:rFonts w:ascii="Calibri" w:hAnsi="Calibri" w:cs="Arial"/>
                <w:i w:val="0"/>
                <w:iCs w:val="0"/>
                <w:color w:val="000000" w:themeColor="text1"/>
                <w:sz w:val="22"/>
                <w:szCs w:val="22"/>
                <w:lang w:eastAsia="es-CL"/>
              </w:rPr>
              <w:br/>
              <w:t xml:space="preserve">• La exigencia del auditor de saber po</w:t>
            </w:r>
            <w:r>
              <w:rPr>
                <w:rFonts w:ascii="Calibri" w:hAnsi="Calibri" w:cs="Arial"/>
                <w:i w:val="0"/>
                <w:iCs w:val="0"/>
                <w:color w:val="000000" w:themeColor="text1"/>
                <w:sz w:val="22"/>
                <w:szCs w:val="22"/>
                <w:lang w:eastAsia="es-CL"/>
              </w:rPr>
              <w:t xml:space="preserve">r qué el sistema puntuó lo que puntuó hacía inviable un modelo opaco. Se descartó el aprendizaje automático y se adoptó puntuación por reglas con desglose persistido. La decisión invirtió una debilidad declarada de la propuesta en una fortaleza defendible.</w:t>
            </w:r>
            <w:r>
              <w:rPr>
                <w:rFonts w:ascii="Calibri" w:hAnsi="Calibri" w:cs="Arial"/>
                <w:i w:val="0"/>
                <w:iCs w:val="0"/>
                <w:color w:val="000000" w:themeColor="text1"/>
                <w:sz w:val="22"/>
                <w:szCs w:val="22"/>
                <w:lang w:eastAsia="es-CL"/>
              </w:rPr>
              <w:br/>
              <w:t xml:space="preserve">• La ventana real de desarrollo fue de once semanas y no dieciséis. La compresión se absorbió de forma explícita en las etapas más postergables, sin comprimir la derivación legal ni el recorrido vertical.</w:t>
            </w:r>
            <w:r>
              <w:rPr>
                <w:rFonts w:ascii="Calibri" w:hAnsi="Calibri" w:cs="Arial"/>
                <w:i w:val="0"/>
                <w:iCs w:val="0"/>
                <w:color w:val="000000" w:themeColor="text1"/>
                <w:sz w:val="22"/>
                <w:szCs w:val="22"/>
                <w:lang w:eastAsia="es-CL"/>
              </w:rPr>
              <w:br/>
              <w:t xml:space="preserve">• Problemas de infraestructura al exponer el prototipo en red local costaron tiempo no planificado; quedaron resueltos y documentados.</w:t>
            </w:r>
            <w:r>
              <w:rPr>
                <w:rFonts w:ascii="Calibri" w:hAnsi="Calibri" w:cs="Arial"/>
                <w:i w:val="0"/>
                <w:iCs w:val="0"/>
                <w:color w:val="000000" w:themeColor="text1"/>
                <w:sz w:val="22"/>
                <w:szCs w:val="22"/>
                <w:lang w:eastAsia="es-CL"/>
              </w:rPr>
            </w:r>
          </w:p>
        </w:tc>
      </w:tr>
      <w:tr>
        <w:trPr>
          <w:trHeight w:val="1112"/>
        </w:trPr>
        <w:tc>
          <w:tcPr>
            <w:tcBorders/>
            <w:tcW w:w="3001" w:type="dxa"/>
            <w:vAlign w:val="center"/>
          </w:tcPr>
          <w:p w14:paraId="30C37D62" w14:textId="77777777">
            <w:pPr>
              <w:spacing/>
              <w:ind/>
              <w:rPr>
                <w:rFonts w:ascii="Calibri" w:hAnsi="Calibri"/>
                <w:color w:val="1f3864" w:themeColor="accent1" w:themeShade="80"/>
                <w:sz w:val="18"/>
              </w:rPr>
            </w:pPr>
            <w:r>
              <w:rPr>
                <w:rFonts w:ascii="Calibri" w:hAnsi="Calibri"/>
                <w:color w:val="1f3864" w:themeColor="accent1" w:themeShade="80"/>
                <w:sz w:val="18"/>
              </w:rPr>
              <w:t xml:space="preserve">5. Evidencias</w:t>
            </w:r>
            <w:r>
              <w:rPr>
                <w:rFonts w:ascii="Calibri" w:hAnsi="Calibri"/>
                <w:color w:val="1f3864" w:themeColor="accent1" w:themeShade="80"/>
                <w:sz w:val="18"/>
              </w:rPr>
            </w:r>
          </w:p>
        </w:tc>
        <w:tc>
          <w:tcPr>
            <w:tcBorders/>
            <w:tcW w:w="6780" w:type="dxa"/>
            <w:vAlign w:val="center"/>
          </w:tcPr>
          <w:p w14:paraId="56ADDEA9" w14:textId="1FF49590">
            <w:pPr>
              <w:spacing w:after="0" w:line="240" w:lineRule="auto"/>
              <w:ind w:firstLine="0" w:left="0"/>
              <w:jc w:val="both"/>
              <w:rPr>
                <w:rFonts w:ascii="Calibri" w:hAnsi="Calibri" w:cs="Arial"/>
                <w:bCs w:val="0"/>
                <w:i w:val="0"/>
                <w:iCs/>
                <w:color w:val="000000" w:themeColor="text1"/>
                <w:sz w:val="22"/>
                <w:szCs w:val="22"/>
              </w:rPr>
            </w:pPr>
            <w:r>
              <w:rPr>
                <w:rFonts w:ascii="Calibri" w:hAnsi="Calibri" w:cs="Arial"/>
                <w:i w:val="0"/>
                <w:iCs w:val="0"/>
                <w:color w:val="000000" w:themeColor="text1"/>
                <w:sz w:val="22"/>
                <w:szCs w:val="22"/>
                <w:lang w:eastAsia="es-CL"/>
              </w:rPr>
              <w:t xml:space="preserve">Evidencias incluidas en este repositorio y qué permite verificar cada una:</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1. Prototipo funcional (Evidencias de sistema). Permite ejecutar el</w:t>
            </w:r>
            <w:r>
              <w:rPr>
                <w:rFonts w:ascii="Calibri" w:hAnsi="Calibri" w:cs="Arial"/>
                <w:i w:val="0"/>
                <w:iCs w:val="0"/>
                <w:color w:val="000000" w:themeColor="text1"/>
                <w:sz w:val="22"/>
                <w:szCs w:val="22"/>
                <w:lang w:eastAsia="es-CL"/>
              </w:rPr>
              <w:t xml:space="preserve"> recorrido completo sobre datos cargados en el momento y comprobar que cerrar, descartar o escalar una alerta sin justificación escrita es rechazado por el sistema. Incluye el manual de despliegue con los comandos verificados y el guion de la demostración.</w:t>
            </w:r>
            <w:r>
              <w:rPr>
                <w:rFonts w:ascii="Calibri" w:hAnsi="Calibri" w:cs="Arial"/>
                <w:i w:val="0"/>
                <w:iCs w:val="0"/>
                <w:color w:val="000000" w:themeColor="text1"/>
                <w:sz w:val="22"/>
                <w:szCs w:val="22"/>
                <w:lang w:eastAsia="es-CL"/>
              </w:rPr>
              <w:br/>
              <w:t xml:space="preserve">2. Documento de derivación de delitos. Permite verificar que los controles provienen del texto legal, y leer las tres correcciones que la cadena impuso al diseño previo.</w:t>
            </w:r>
            <w:r>
              <w:rPr>
                <w:rFonts w:ascii="Calibri" w:hAnsi="Calibri" w:cs="Arial"/>
                <w:i w:val="0"/>
                <w:iCs w:val="0"/>
                <w:color w:val="000000" w:themeColor="text1"/>
                <w:sz w:val="22"/>
                <w:szCs w:val="22"/>
                <w:lang w:eastAsia="es-CL"/>
              </w:rPr>
              <w:br/>
              <w:t xml:space="preserve">3. Modelo de datos. Las once tablas del dominio con las decisiones de diseño que el esquema impone: desglose persistido, registro de solo anexión, verdad point-in-time y el RUT como clave de resolución de entidades.</w:t>
            </w:r>
            <w:r>
              <w:rPr>
                <w:rFonts w:ascii="Calibri" w:hAnsi="Calibri" w:cs="Arial"/>
                <w:i w:val="0"/>
                <w:iCs w:val="0"/>
                <w:color w:val="000000" w:themeColor="text1"/>
                <w:sz w:val="22"/>
                <w:szCs w:val="22"/>
                <w:lang w:eastAsia="es-CL"/>
              </w:rPr>
              <w:br/>
              <w:t xml:space="preserve">4. Requisitos no funcionales. Quince requisitos verificables, incluido el tratamiento de la Ley 21.719 y lo que una implantación productiva tendría que resolver antes de tratar datos reales.</w:t>
            </w:r>
            <w:r>
              <w:rPr>
                <w:rFonts w:ascii="Calibri" w:hAnsi="Calibri" w:cs="Arial"/>
                <w:i w:val="0"/>
                <w:iCs w:val="0"/>
                <w:color w:val="000000" w:themeColor="text1"/>
                <w:sz w:val="22"/>
                <w:szCs w:val="22"/>
                <w:lang w:eastAsia="es-CL"/>
              </w:rPr>
              <w:br/>
              <w:t xml:space="preserve">5. Inventario de pruebas. Dieciocho verificaciones, de las cuales diecisiete están ejecutadas y aprobadas. La decimoctava figura como no ejecutada a propósito: es el lote ciego, y declararla aprobada sería falso.</w:t>
            </w:r>
            <w:r>
              <w:rPr>
                <w:rFonts w:ascii="Calibri" w:hAnsi="Calibri" w:cs="Arial"/>
                <w:i w:val="0"/>
                <w:iCs w:val="0"/>
                <w:color w:val="000000" w:themeColor="text1"/>
                <w:sz w:val="22"/>
                <w:szCs w:val="22"/>
                <w:lang w:eastAsia="es-CL"/>
              </w:rPr>
              <w:br/>
              <w:t xml:space="preserve">6. Instrumento de evaluación y sus resultados. Precisión 0,667, recall 0,250 sobre las conductas </w:t>
            </w:r>
            <w:r>
              <w:rPr>
                <w:rFonts w:ascii="Calibri" w:hAnsi="Calibri" w:cs="Arial"/>
                <w:i w:val="0"/>
                <w:iCs w:val="0"/>
                <w:color w:val="000000" w:themeColor="text1"/>
                <w:sz w:val="22"/>
                <w:szCs w:val="22"/>
                <w:lang w:eastAsia="es-CL"/>
              </w:rPr>
              <w:t xml:space="preserve">derivadas de la ley y 0,500 sobre las que el diseño afirma cubrir. Son cifras bajas y se reportan tal cual: un recall de 0,25 es el resultado correcto para un sistema cuyas señales observan circunstancias correlacionadas con el delito y no el delito mismo.</w:t>
            </w:r>
            <w:r>
              <w:rPr>
                <w:rFonts w:ascii="Calibri" w:hAnsi="Calibri" w:cs="Arial"/>
                <w:i w:val="0"/>
                <w:iCs w:val="0"/>
                <w:color w:val="000000" w:themeColor="text1"/>
                <w:sz w:val="22"/>
                <w:szCs w:val="22"/>
                <w:lang w:eastAsia="es-CL"/>
              </w:rPr>
              <w:br/>
              <w:t xml:space="preserve">7. Interfaz de autoría. Permite verificar la afirmación central: crear un control nuevo levanta una alerta sobre una compra que el control sembrado puntuaba en 0,15 y dejaba en silencio.</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Tres hallazgos que el instrumento de evaluación produjo y que valen más que las métricas:</w:t>
            </w:r>
            <w:r>
              <w:rPr>
                <w:rFonts w:ascii="Calibri" w:hAnsi="Calibri" w:cs="Arial"/>
                <w:i w:val="0"/>
                <w:iCs w:val="0"/>
                <w:color w:val="000000" w:themeColor="text1"/>
                <w:sz w:val="22"/>
                <w:szCs w:val="22"/>
                <w:lang w:eastAsia="es-CL"/>
              </w:rPr>
              <w:br/>
              <w:t xml:space="preserve">• El rastro directo del tipo penal, aislado, no levanta alerta. La señal que lee</w:t>
            </w:r>
            <w:r>
              <w:rPr>
                <w:rFonts w:ascii="Calibri" w:hAnsi="Calibri" w:cs="Arial"/>
                <w:i w:val="0"/>
                <w:iCs w:val="0"/>
                <w:color w:val="000000" w:themeColor="text1"/>
                <w:sz w:val="22"/>
                <w:szCs w:val="22"/>
                <w:lang w:eastAsia="es-CL"/>
              </w:rPr>
              <w:t xml:space="preserve"> el elemento típico del art. 287 bis pesa 0,35 contra un umbral de 0,50, de modo que una adjudicación directa sin otra circunstancia concurrente se puntúa y queda en silencio. Es un problema de calibración real que la evaluación expuso en lugar de ocultar.</w:t>
            </w:r>
            <w:r>
              <w:rPr>
                <w:rFonts w:ascii="Calibri" w:hAnsi="Calibri" w:cs="Arial"/>
                <w:i w:val="0"/>
                <w:iCs w:val="0"/>
                <w:color w:val="000000" w:themeColor="text1"/>
                <w:sz w:val="22"/>
                <w:szCs w:val="22"/>
                <w:lang w:eastAsia="es-CL"/>
              </w:rPr>
              <w:br/>
              <w:t xml:space="preserve">• «Vista pero no alertada» es una categoría propia. En tres conductas una señal disparó sin alcanzar el umbral: la evidencia quedó registrada y ninguna persona fue avisada. Para un sistema de cumplimiento eso no equivale a no ver nada.</w:t>
            </w:r>
            <w:r>
              <w:rPr>
                <w:rFonts w:ascii="Calibri" w:hAnsi="Calibri" w:cs="Arial"/>
                <w:i w:val="0"/>
                <w:iCs w:val="0"/>
                <w:color w:val="000000" w:themeColor="text1"/>
                <w:sz w:val="22"/>
                <w:szCs w:val="22"/>
                <w:lang w:eastAsia="es-CL"/>
              </w:rPr>
              <w:br/>
              <w:t xml:space="preserve">• La heurística de apellido </w:t>
            </w:r>
            <w:r>
              <w:rPr>
                <w:rFonts w:ascii="Calibri" w:hAnsi="Calibri" w:cs="Arial"/>
                <w:i w:val="0"/>
                <w:iCs w:val="0"/>
                <w:color w:val="000000" w:themeColor="text1"/>
                <w:sz w:val="22"/>
                <w:szCs w:val="22"/>
                <w:lang w:eastAsia="es-CL"/>
              </w:rPr>
              <w:t xml:space="preserve">produce un falso positivo con costo real. Un proveedor único certificado, adjudicado sin competencia por esa razón, cuya razón social contiene por casualidad el apellido del solicitante. Es el costo declarado de la señal relacional más barata del catálogo.</w:t>
            </w:r>
            <w:r>
              <w:rPr>
                <w:rFonts w:ascii="Calibri" w:hAnsi="Calibri" w:cs="Arial"/>
                <w:i w:val="0"/>
                <w:iCs w:val="0"/>
                <w:color w:val="000000" w:themeColor="text1"/>
                <w:sz w:val="22"/>
                <w:szCs w:val="22"/>
                <w:lang w:eastAsia="es-CL"/>
              </w:rPr>
              <w:br/>
            </w:r>
            <w:r>
              <w:rPr>
                <w:rFonts w:ascii="Calibri" w:hAnsi="Calibri" w:cs="Arial"/>
                <w:i w:val="0"/>
                <w:iCs w:val="0"/>
                <w:color w:val="000000" w:themeColor="text1"/>
                <w:sz w:val="22"/>
                <w:szCs w:val="22"/>
                <w:lang w:eastAsia="es-CL"/>
              </w:rPr>
              <w:br/>
              <w:t xml:space="preserve">Limitación declarada, independiente de las cifras: los datos sintéticos miden si las señales dete</w:t>
            </w:r>
            <w:r>
              <w:rPr>
                <w:rFonts w:ascii="Calibri" w:hAnsi="Calibri" w:cs="Arial"/>
                <w:i w:val="0"/>
                <w:iCs w:val="0"/>
                <w:color w:val="000000" w:themeColor="text1"/>
                <w:sz w:val="22"/>
                <w:szCs w:val="22"/>
                <w:lang w:eastAsia="es-CL"/>
              </w:rPr>
              <w:t xml:space="preserve">ctan las conductas tal como fueron derivadas de la ley, no si detectan fraude real. Cuatro de ocho conductas no las lee ninguna señal implementada, incluida la entrega del beneficio al solicitante, que ocurre fuera de los sistemas de la organización y a la</w:t>
            </w:r>
            <w:r>
              <w:rPr>
                <w:rFonts w:ascii="Calibri" w:hAnsi="Calibri" w:cs="Arial"/>
                <w:i w:val="0"/>
                <w:iCs w:val="0"/>
                <w:color w:val="000000" w:themeColor="text1"/>
                <w:sz w:val="22"/>
                <w:szCs w:val="22"/>
                <w:lang w:eastAsia="es-CL"/>
              </w:rPr>
              <w:t xml:space="preserve"> que un sensor de datos es estructuralmente ciego. Las señales no observan el delito: observan circunstancias objetivas correlacionadas con él. Esa es la razón por la que el axioma de que una persona siempre decide es correcto y no una concesión defensiva.</w:t>
            </w:r>
            <w:r>
              <w:rPr>
                <w:rFonts w:ascii="Calibri" w:hAnsi="Calibri" w:cs="Arial"/>
                <w:i w:val="0"/>
                <w:iCs w:val="0"/>
                <w:color w:val="000000" w:themeColor="text1"/>
                <w:sz w:val="22"/>
                <w:szCs w:val="22"/>
                <w:lang w:eastAsia="es-CL"/>
              </w:rPr>
            </w:r>
          </w:p>
        </w:tc>
      </w:tr>
      <w:tr>
        <w:trPr>
          <w:trHeight w:val="2547"/>
        </w:trPr>
        <w:tc>
          <w:tcPr>
            <w:tcBorders/>
            <w:tcW w:w="3001" w:type="dxa"/>
            <w:vAlign w:val="center"/>
          </w:tcPr>
          <w:p w14:paraId="0D5B9BFB" w14:textId="2DAFF7F0">
            <w:pPr>
              <w:spacing/>
              <w:ind/>
              <w:rPr>
                <w:rFonts w:ascii="Calibri" w:hAnsi="Calibri"/>
                <w:color w:val="1f3864" w:themeColor="accent1" w:themeShade="80"/>
                <w:sz w:val="18"/>
                <w:szCs w:val="18"/>
              </w:rPr>
            </w:pPr>
            <w:r>
              <w:rPr>
                <w:rFonts w:ascii="Calibri" w:hAnsi="Calibri"/>
                <w:color w:val="1f3864" w:themeColor="accent1" w:themeShade="80"/>
                <w:sz w:val="18"/>
                <w:szCs w:val="18"/>
              </w:rPr>
              <w:t xml:space="preserve">6</w:t>
            </w:r>
            <w:r>
              <w:rPr>
                <w:rFonts w:ascii="Calibri" w:hAnsi="Calibri"/>
                <w:color w:val="1f3864" w:themeColor="accent1" w:themeShade="80"/>
                <w:sz w:val="18"/>
                <w:szCs w:val="18"/>
              </w:rPr>
              <w:t xml:space="preserve">. </w:t>
            </w:r>
            <w:r>
              <w:rPr>
                <w:rFonts w:ascii="Calibri" w:hAnsi="Calibri"/>
                <w:color w:val="1f3864" w:themeColor="accent1" w:themeShade="80"/>
                <w:sz w:val="18"/>
                <w:szCs w:val="18"/>
              </w:rPr>
              <w:t xml:space="preserve">Intereses </w:t>
            </w:r>
            <w:r>
              <w:rPr>
                <w:rFonts w:ascii="Calibri" w:hAnsi="Calibri"/>
                <w:color w:val="1f3864" w:themeColor="accent1" w:themeShade="80"/>
                <w:sz w:val="18"/>
                <w:szCs w:val="18"/>
              </w:rPr>
              <w:t xml:space="preserve">y proyecciones</w:t>
            </w:r>
            <w:r>
              <w:rPr>
                <w:rFonts w:ascii="Calibri" w:hAnsi="Calibri"/>
                <w:color w:val="1f3864" w:themeColor="accent1" w:themeShade="80"/>
                <w:sz w:val="18"/>
                <w:szCs w:val="18"/>
              </w:rPr>
              <w:t xml:space="preserve"> profesionales</w:t>
            </w:r>
            <w:r>
              <w:rPr>
                <w:rFonts w:ascii="Calibri" w:hAnsi="Calibri"/>
                <w:color w:val="1f3864" w:themeColor="accent1" w:themeShade="80"/>
                <w:sz w:val="18"/>
                <w:szCs w:val="18"/>
              </w:rPr>
            </w:r>
          </w:p>
        </w:tc>
        <w:tc>
          <w:tcPr>
            <w:tcBorders/>
            <w:tcW w:w="6780" w:type="dxa"/>
            <w:vAlign w:val="center"/>
          </w:tcPr>
          <w:p w14:paraId="0E7B9ADE" w14:textId="79AFCCBE">
            <w:pPr>
              <w:spacing w:after="0" w:line="240" w:lineRule="auto"/>
              <w:ind w:firstLine="0" w:left="0"/>
              <w:jc w:val="both"/>
              <w:rPr>
                <w:rFonts w:ascii="Calibri" w:hAnsi="Calibri" w:cs="Arial"/>
                <w:bCs w:val="0"/>
                <w:i w:val="0"/>
                <w:iCs/>
                <w:color w:val="000000" w:themeColor="text1"/>
                <w:sz w:val="22"/>
                <w:szCs w:val="22"/>
              </w:rPr>
            </w:pPr>
            <w:r>
              <w:rPr>
                <w:rFonts w:ascii="Calibri" w:hAnsi="Calibri" w:cs="Arial"/>
                <w:i w:val="0"/>
                <w:iCs w:val="0"/>
                <w:color w:val="000000" w:themeColor="text1"/>
                <w:sz w:val="22"/>
                <w:szCs w:val="22"/>
                <w:lang w:eastAsia="es-CL"/>
              </w:rPr>
              <w:t xml:space="preserve">El proyecto confirmó un interés profesional por construir software aplicado a problemas reales, en el cruce entre desarrollo, trazabilidad, modelado de datos y análisis, por sobre proyectos de valor únicamente académico.</w:t>
            </w:r>
            <w:r>
              <w:rPr>
                <w:rFonts w:ascii="Calibri" w:hAnsi="Calibri" w:cs="Arial"/>
                <w:i w:val="0"/>
                <w:iCs w:val="0"/>
                <w:color w:val="000000" w:themeColor="text1"/>
                <w:sz w:val="22"/>
                <w:szCs w:val="22"/>
                <w:lang w:eastAsia="es-CL"/>
              </w:rPr>
              <w:br/>
              <w:t xml:space="preserve">Lo que más aportó al desarrollo profesional del equipo no fue una tecnología sino una forma de trabajar. Primero, que una decisión arquitectónica pued</w:t>
            </w:r>
            <w:r>
              <w:rPr>
                <w:rFonts w:ascii="Calibri" w:hAnsi="Calibri" w:cs="Arial"/>
                <w:i w:val="0"/>
                <w:iCs w:val="0"/>
                <w:color w:val="000000" w:themeColor="text1"/>
                <w:sz w:val="22"/>
                <w:szCs w:val="22"/>
                <w:lang w:eastAsia="es-CL"/>
              </w:rPr>
              <w:t xml:space="preserve">e ser irreversible y conviene reconocerla temprano: obligar al puntuador a devolver siempre su desglose, verificado por el compilador, habría sido imposible de retrofitear sin reescribir cada señal. Segundo, que acotar el alcance por escrito y declarar lo </w:t>
            </w:r>
            <w:r>
              <w:rPr>
                <w:rFonts w:ascii="Calibri" w:hAnsi="Calibri" w:cs="Arial"/>
                <w:i w:val="0"/>
                <w:iCs w:val="0"/>
                <w:color w:val="000000" w:themeColor="text1"/>
                <w:sz w:val="22"/>
                <w:szCs w:val="22"/>
                <w:lang w:eastAsia="es-CL"/>
              </w:rPr>
              <w:t xml:space="preserve">que queda fuera es más defendible que intentar abarcarlo todo: el documento de delimitación del alcance evitó el modo de falla más común en un proyecto de titulación. Tercero, que un método que corrige a quien lo aplica vale más que uno que le da la razón.</w:t>
            </w:r>
            <w:r>
              <w:rPr>
                <w:rFonts w:ascii="Calibri" w:hAnsi="Calibri" w:cs="Arial"/>
                <w:i w:val="0"/>
                <w:iCs w:val="0"/>
                <w:color w:val="000000" w:themeColor="text1"/>
                <w:sz w:val="22"/>
                <w:szCs w:val="22"/>
                <w:lang w:eastAsia="es-CL"/>
              </w:rPr>
              <w:br/>
              <w:t xml:space="preserve">El dominio tiene proyección laboral concreta en Chile. Tras la Ley 21.595, las organizaciones deben acreditar que su modelo opera y someterlo a evaluación por terceros independientes, lo que crea demanda de software d</w:t>
            </w:r>
            <w:r>
              <w:rPr>
                <w:rFonts w:ascii="Calibri" w:hAnsi="Calibri" w:cs="Arial"/>
                <w:i w:val="0"/>
                <w:iCs w:val="0"/>
                <w:color w:val="000000" w:themeColor="text1"/>
                <w:sz w:val="22"/>
                <w:szCs w:val="22"/>
                <w:lang w:eastAsia="es-CL"/>
              </w:rPr>
              <w:t xml:space="preserve">e cumplimiento, auditoría tecnológica y gestión de riesgos. El equipo adquirió además algo más transferible que el dominio: la práctica de leer una norma, derivar de ella un requerimiento verificable y dejar registro de por qué el sistema hace lo que hace.</w:t>
            </w:r>
            <w:r>
              <w:rPr>
                <w:rFonts w:ascii="Calibri" w:hAnsi="Calibri" w:cs="Arial"/>
                <w:i w:val="0"/>
                <w:iCs w:val="0"/>
                <w:color w:val="000000" w:themeColor="text1"/>
                <w:sz w:val="22"/>
                <w:szCs w:val="22"/>
                <w:lang w:eastAsia="es-CL"/>
              </w:rPr>
              <w:br/>
              <w:t xml:space="preserve">Proyecciones del trabajo, ya identificadas y documentadas como trabajo futuro: el canal de denuncias como sensor humano del punto ciego, la integración con un ERP, el enriquec</w:t>
            </w:r>
            <w:r>
              <w:rPr>
                <w:rFonts w:ascii="Calibri" w:hAnsi="Calibri" w:cs="Arial"/>
                <w:i w:val="0"/>
                <w:iCs w:val="0"/>
                <w:color w:val="000000" w:themeColor="text1"/>
                <w:sz w:val="22"/>
                <w:szCs w:val="22"/>
                <w:lang w:eastAsia="es-CL"/>
              </w:rPr>
              <w:t xml:space="preserve">imiento desde fuentes públicas chilenas tras una sola interfaz con adaptadores, el monitoreo continuo del padrón de proveedores, el tablero de efectividad del modelo y, sólo entonces, el uso de aprendizaje automático para priorizar y nunca para determinar.</w:t>
            </w:r>
            <w:r>
              <w:rPr>
                <w:rFonts w:ascii="Calibri" w:hAnsi="Calibri" w:cs="Arial"/>
                <w:i w:val="0"/>
                <w:iCs w:val="0"/>
                <w:color w:val="000000" w:themeColor="text1"/>
                <w:sz w:val="22"/>
                <w:szCs w:val="22"/>
                <w:lang w:eastAsia="es-CL"/>
              </w:rPr>
            </w:r>
          </w:p>
        </w:tc>
      </w:tr>
    </w:tbl>
    <w:p w14:paraId="613BE5DD" w14:textId="77777777">
      <w:pPr>
        <w:spacing/>
        <w:ind/>
        <w:rPr>
          <w:b/>
        </w:rPr>
      </w:pPr>
      <w:r>
        <w:rPr>
          <w:b/>
        </w:rPr>
      </w:r>
      <w:r>
        <w:rPr>
          <w:b/>
        </w:rPr>
      </w:r>
    </w:p>
    <w:p w14:paraId="0D9A87A2" w14:textId="7C52010E">
      <w:pPr>
        <w:spacing w:after="0" w:line="276" w:lineRule="auto"/>
        <w:ind w:right="-568" w:left="-426"/>
        <w:jc w:val="both"/>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r>
      <w:r>
        <w:rPr>
          <w:rFonts w:eastAsiaTheme="majorEastAsia" w:cstheme="minorHAnsi"/>
          <w:color w:val="767171" w:themeColor="background2" w:themeShade="80"/>
          <w:sz w:val="24"/>
          <w:szCs w:val="24"/>
        </w:rPr>
      </w:r>
    </w:p>
    <w:p w14:paraId="70FF608E" w14:textId="77777777">
      <w:pPr>
        <w:spacing w:after="0" w:line="276" w:lineRule="auto"/>
        <w:ind w:right="-568" w:left="-426"/>
        <w:jc w:val="both"/>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r>
      <w:r>
        <w:rPr>
          <w:rFonts w:eastAsiaTheme="majorEastAsia" w:cstheme="minorHAnsi"/>
          <w:color w:val="767171" w:themeColor="background2" w:themeShade="80"/>
          <w:sz w:val="24"/>
          <w:szCs w:val="24"/>
        </w:rPr>
      </w:r>
    </w:p>
    <w:p w14:paraId="44C057E5" w14:textId="77777777">
      <w:pPr>
        <w:spacing/>
        <w:ind/>
        <w:rPr/>
      </w:pPr>
      <w: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0DD6A90" w14:textId="77777777">
      <w:pPr>
        <w:spacing w:after="0" w:line="240" w:lineRule="auto"/>
        <w:ind/>
        <w:rPr/>
      </w:pPr>
      <w:r>
        <w:separator/>
      </w:r>
      <w:r/>
    </w:p>
  </w:endnote>
  <w:endnote w:type="continuationSeparator" w:id="0">
    <w:p w14:paraId="7AC13F57"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entury Gothic">
    <w:panose1 w:val="020B0604020202020204"/>
  </w:font>
  <w:font w:name="Symbol">
    <w:panose1 w:val="05010000000000000000"/>
  </w:font>
  <w:font w:name="Wingdings">
    <w:panose1 w:val="05010000000000000000"/>
  </w:font>
  <w:font w:name="Courier New">
    <w:panose1 w:val="02070409020205020404"/>
  </w:font>
  <w:font w:name="Times New Roman">
    <w:panose1 w:val="02020603050405020304"/>
  </w:font>
  <w:font w:name="Segoe UI">
    <w:panose1 w:val="020B0502040404020203"/>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BF11426" w14:textId="77777777">
      <w:pPr>
        <w:spacing w:after="0" w:line="240" w:lineRule="auto"/>
        <w:ind/>
        <w:rPr/>
      </w:pPr>
      <w:r>
        <w:separator/>
      </w:r>
      <w:r/>
    </w:p>
  </w:footnote>
  <w:footnote w:type="continuationSeparator" w:id="0">
    <w:p w14:paraId="2AEF6ED6" w14:textId="77777777">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79"/>
      <w:tblInd w:w="-709" w:type="dxa"/>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11A13BC6" w14:textId="396135DB">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Informe Final</w:t>
          </w:r>
          <w:r>
            <w:rPr>
              <w:rFonts w:ascii="Century Gothic" w:hAnsi="Century Gothic" w:eastAsia="Century Gothic" w:cs="Century Gothic"/>
              <w:b/>
              <w:color w:val="1d2763"/>
              <w:sz w:val="24"/>
              <w:szCs w:val="24"/>
            </w:rPr>
            <w:t xml:space="preserve"> Proyecto 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717ECB8E" w14:textId="1B023F56">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2854025F" w14:textId="77777777">
          <w:pP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alt="http://www.duoc.cl/normasgraficas/normasgraficas/marca-duoc/6logo-fondo-transparente/fondo-transparente.png"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56968411" w14:textId="77777777">
    <w:pPr>
      <w:pStyle w:val="777"/>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84468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3">
    <w:nsid w:val="51D05305"/>
    <w:lvl w:ilvl="0">
      <w:isLgl w:val="false"/>
      <w:lvlJc w:val="left"/>
      <w:lvlText w:val="-"/>
      <w:numFmt w:val="bullet"/>
      <w:pPr>
        <w:pBdr/>
        <w:spacing/>
        <w:ind w:hanging="360" w:left="720"/>
      </w:pPr>
      <w:rPr>
        <w:rFonts w:hint="default" w:ascii="Times New Roman" w:hAnsi="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64948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31E1176"/>
    <w:lvl w:ilvl="0">
      <w:isLgl w:val="false"/>
      <w:lvlJc w:val="left"/>
      <w:lvlText w:val="%1."/>
      <w:numFmt w:val="upperRoman"/>
      <w:pPr>
        <w:pBdr/>
        <w:spacing/>
        <w:ind w:hanging="720" w:left="108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66"/>
    <w:next w:val="7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66"/>
    <w:next w:val="7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66"/>
    <w:next w:val="7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6"/>
    <w:next w:val="7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6"/>
    <w:next w:val="7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6"/>
    <w:next w:val="7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6"/>
    <w:next w:val="7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6"/>
    <w:next w:val="7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6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68"/>
    <w:link w:val="767"/>
    <w:uiPriority w:val="9"/>
    <w:pPr>
      <w:pBdr/>
      <w:spacing/>
      <w:ind/>
    </w:pPr>
    <w:rPr>
      <w:rFonts w:ascii="Arial" w:hAnsi="Arial" w:eastAsia="Arial" w:cs="Arial"/>
      <w:color w:val="0f4761" w:themeColor="accent1" w:themeShade="BF"/>
      <w:sz w:val="28"/>
      <w:szCs w:val="28"/>
    </w:rPr>
  </w:style>
  <w:style w:type="character" w:styleId="153">
    <w:name w:val="Heading 4 Char"/>
    <w:basedOn w:val="768"/>
    <w:link w:val="142"/>
    <w:uiPriority w:val="9"/>
    <w:pPr>
      <w:pBdr/>
      <w:spacing/>
      <w:ind/>
    </w:pPr>
    <w:rPr>
      <w:rFonts w:ascii="Arial" w:hAnsi="Arial" w:eastAsia="Arial" w:cs="Arial"/>
      <w:i/>
      <w:iCs/>
      <w:color w:val="0f4761" w:themeColor="accent1" w:themeShade="BF"/>
    </w:rPr>
  </w:style>
  <w:style w:type="character" w:styleId="154">
    <w:name w:val="Heading 5 Char"/>
    <w:basedOn w:val="768"/>
    <w:link w:val="143"/>
    <w:uiPriority w:val="9"/>
    <w:pPr>
      <w:pBdr/>
      <w:spacing/>
      <w:ind/>
    </w:pPr>
    <w:rPr>
      <w:rFonts w:ascii="Arial" w:hAnsi="Arial" w:eastAsia="Arial" w:cs="Arial"/>
      <w:color w:val="0f4761" w:themeColor="accent1" w:themeShade="BF"/>
    </w:rPr>
  </w:style>
  <w:style w:type="character" w:styleId="155">
    <w:name w:val="Heading 6 Char"/>
    <w:basedOn w:val="768"/>
    <w:link w:val="144"/>
    <w:uiPriority w:val="9"/>
    <w:pPr>
      <w:pBdr/>
      <w:spacing/>
      <w:ind/>
    </w:pPr>
    <w:rPr>
      <w:rFonts w:ascii="Arial" w:hAnsi="Arial" w:eastAsia="Arial" w:cs="Arial"/>
      <w:i/>
      <w:iCs/>
      <w:color w:val="595959" w:themeColor="text1" w:themeTint="A6"/>
    </w:rPr>
  </w:style>
  <w:style w:type="character" w:styleId="156">
    <w:name w:val="Heading 7 Char"/>
    <w:basedOn w:val="768"/>
    <w:link w:val="145"/>
    <w:uiPriority w:val="9"/>
    <w:pPr>
      <w:pBdr/>
      <w:spacing/>
      <w:ind/>
    </w:pPr>
    <w:rPr>
      <w:rFonts w:ascii="Arial" w:hAnsi="Arial" w:eastAsia="Arial" w:cs="Arial"/>
      <w:color w:val="595959" w:themeColor="text1" w:themeTint="A6"/>
    </w:rPr>
  </w:style>
  <w:style w:type="character" w:styleId="157">
    <w:name w:val="Heading 8 Char"/>
    <w:basedOn w:val="768"/>
    <w:link w:val="146"/>
    <w:uiPriority w:val="9"/>
    <w:pPr>
      <w:pBdr/>
      <w:spacing/>
      <w:ind/>
    </w:pPr>
    <w:rPr>
      <w:rFonts w:ascii="Arial" w:hAnsi="Arial" w:eastAsia="Arial" w:cs="Arial"/>
      <w:i/>
      <w:iCs/>
      <w:color w:val="272727" w:themeColor="text1" w:themeTint="D8"/>
    </w:rPr>
  </w:style>
  <w:style w:type="character" w:styleId="158">
    <w:name w:val="Heading 9 Char"/>
    <w:basedOn w:val="768"/>
    <w:link w:val="147"/>
    <w:uiPriority w:val="9"/>
    <w:pPr>
      <w:pBdr/>
      <w:spacing/>
      <w:ind/>
    </w:pPr>
    <w:rPr>
      <w:rFonts w:ascii="Arial" w:hAnsi="Arial" w:eastAsia="Arial" w:cs="Arial"/>
      <w:i/>
      <w:iCs/>
      <w:color w:val="272727" w:themeColor="text1" w:themeTint="D8"/>
    </w:rPr>
  </w:style>
  <w:style w:type="paragraph" w:styleId="159">
    <w:name w:val="Title"/>
    <w:basedOn w:val="766"/>
    <w:next w:val="7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8"/>
    <w:link w:val="159"/>
    <w:uiPriority w:val="10"/>
    <w:pPr>
      <w:pBdr/>
      <w:spacing/>
      <w:ind/>
    </w:pPr>
    <w:rPr>
      <w:rFonts w:ascii="Arial" w:hAnsi="Arial" w:eastAsia="Arial" w:cs="Arial"/>
      <w:spacing w:val="-10"/>
      <w:sz w:val="56"/>
      <w:szCs w:val="56"/>
    </w:rPr>
  </w:style>
  <w:style w:type="paragraph" w:styleId="161">
    <w:name w:val="Subtitle"/>
    <w:basedOn w:val="766"/>
    <w:next w:val="766"/>
    <w:link w:val="162"/>
    <w:uiPriority w:val="11"/>
    <w:qFormat/>
    <w:pPr>
      <w:numPr>
        <w:ilvl w:val="1"/>
      </w:numPr>
      <w:pBdr/>
      <w:spacing/>
      <w:ind/>
    </w:pPr>
    <w:rPr>
      <w:color w:val="595959" w:themeColor="text1" w:themeTint="A6"/>
      <w:spacing w:val="15"/>
      <w:sz w:val="28"/>
      <w:szCs w:val="28"/>
    </w:rPr>
  </w:style>
  <w:style w:type="character" w:styleId="162">
    <w:name w:val="Subtitle Char"/>
    <w:basedOn w:val="768"/>
    <w:link w:val="161"/>
    <w:uiPriority w:val="11"/>
    <w:pPr>
      <w:pBdr/>
      <w:spacing/>
      <w:ind/>
    </w:pPr>
    <w:rPr>
      <w:color w:val="595959" w:themeColor="text1" w:themeTint="A6"/>
      <w:spacing w:val="15"/>
      <w:sz w:val="28"/>
      <w:szCs w:val="28"/>
    </w:rPr>
  </w:style>
  <w:style w:type="paragraph" w:styleId="163">
    <w:name w:val="Quote"/>
    <w:basedOn w:val="766"/>
    <w:next w:val="766"/>
    <w:link w:val="164"/>
    <w:uiPriority w:val="29"/>
    <w:qFormat/>
    <w:pPr>
      <w:pBdr/>
      <w:spacing w:before="160"/>
      <w:ind/>
      <w:jc w:val="center"/>
    </w:pPr>
    <w:rPr>
      <w:i/>
      <w:iCs/>
      <w:color w:val="404040" w:themeColor="text1" w:themeTint="BF"/>
    </w:rPr>
  </w:style>
  <w:style w:type="character" w:styleId="164">
    <w:name w:val="Quote Char"/>
    <w:basedOn w:val="768"/>
    <w:link w:val="163"/>
    <w:uiPriority w:val="29"/>
    <w:pPr>
      <w:pBdr/>
      <w:spacing/>
      <w:ind/>
    </w:pPr>
    <w:rPr>
      <w:i/>
      <w:iCs/>
      <w:color w:val="404040" w:themeColor="text1" w:themeTint="BF"/>
    </w:rPr>
  </w:style>
  <w:style w:type="character" w:styleId="166">
    <w:name w:val="Intense Emphasis"/>
    <w:basedOn w:val="768"/>
    <w:uiPriority w:val="21"/>
    <w:qFormat/>
    <w:pPr>
      <w:pBdr/>
      <w:spacing/>
      <w:ind/>
    </w:pPr>
    <w:rPr>
      <w:i/>
      <w:iCs/>
      <w:color w:val="0f4761" w:themeColor="accent1" w:themeShade="BF"/>
    </w:rPr>
  </w:style>
  <w:style w:type="paragraph" w:styleId="167">
    <w:name w:val="Intense Quote"/>
    <w:basedOn w:val="766"/>
    <w:next w:val="7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8"/>
    <w:link w:val="167"/>
    <w:uiPriority w:val="30"/>
    <w:pPr>
      <w:pBdr/>
      <w:spacing/>
      <w:ind/>
    </w:pPr>
    <w:rPr>
      <w:i/>
      <w:iCs/>
      <w:color w:val="0f4761" w:themeColor="accent1" w:themeShade="BF"/>
    </w:rPr>
  </w:style>
  <w:style w:type="character" w:styleId="169">
    <w:name w:val="Intense Reference"/>
    <w:basedOn w:val="768"/>
    <w:uiPriority w:val="32"/>
    <w:qFormat/>
    <w:pPr>
      <w:pBdr/>
      <w:spacing/>
      <w:ind/>
    </w:pPr>
    <w:rPr>
      <w:b/>
      <w:bCs/>
      <w:smallCaps/>
      <w:color w:val="0f4761" w:themeColor="accent1" w:themeShade="BF"/>
      <w:spacing w:val="5"/>
    </w:rPr>
  </w:style>
  <w:style w:type="paragraph" w:styleId="170">
    <w:name w:val="No Spacing"/>
    <w:basedOn w:val="766"/>
    <w:uiPriority w:val="1"/>
    <w:qFormat/>
    <w:pPr>
      <w:pBdr/>
      <w:spacing w:after="0" w:line="240" w:lineRule="auto"/>
      <w:ind/>
    </w:pPr>
  </w:style>
  <w:style w:type="character" w:styleId="171">
    <w:name w:val="Subtle Emphasis"/>
    <w:basedOn w:val="768"/>
    <w:uiPriority w:val="19"/>
    <w:qFormat/>
    <w:pPr>
      <w:pBdr/>
      <w:spacing/>
      <w:ind/>
    </w:pPr>
    <w:rPr>
      <w:i/>
      <w:iCs/>
      <w:color w:val="404040" w:themeColor="text1" w:themeTint="BF"/>
    </w:rPr>
  </w:style>
  <w:style w:type="character" w:styleId="172">
    <w:name w:val="Emphasis"/>
    <w:basedOn w:val="768"/>
    <w:uiPriority w:val="20"/>
    <w:qFormat/>
    <w:pPr>
      <w:pBdr/>
      <w:spacing/>
      <w:ind/>
    </w:pPr>
    <w:rPr>
      <w:i/>
      <w:iCs/>
    </w:rPr>
  </w:style>
  <w:style w:type="character" w:styleId="173">
    <w:name w:val="Strong"/>
    <w:basedOn w:val="768"/>
    <w:uiPriority w:val="22"/>
    <w:qFormat/>
    <w:pPr>
      <w:pBdr/>
      <w:spacing/>
      <w:ind/>
    </w:pPr>
    <w:rPr>
      <w:b/>
      <w:bCs/>
    </w:rPr>
  </w:style>
  <w:style w:type="character" w:styleId="174">
    <w:name w:val="Subtle Reference"/>
    <w:basedOn w:val="768"/>
    <w:uiPriority w:val="31"/>
    <w:qFormat/>
    <w:pPr>
      <w:pBdr/>
      <w:spacing/>
      <w:ind/>
    </w:pPr>
    <w:rPr>
      <w:smallCaps/>
      <w:color w:val="5a5a5a" w:themeColor="text1" w:themeTint="A5"/>
    </w:rPr>
  </w:style>
  <w:style w:type="character" w:styleId="175">
    <w:name w:val="Book Title"/>
    <w:basedOn w:val="768"/>
    <w:uiPriority w:val="33"/>
    <w:qFormat/>
    <w:pPr>
      <w:pBdr/>
      <w:spacing/>
      <w:ind/>
    </w:pPr>
    <w:rPr>
      <w:b/>
      <w:bCs/>
      <w:i/>
      <w:iCs/>
      <w:spacing w:val="5"/>
    </w:rPr>
  </w:style>
  <w:style w:type="character" w:styleId="177">
    <w:name w:val="Header Char"/>
    <w:basedOn w:val="768"/>
    <w:link w:val="777"/>
    <w:uiPriority w:val="99"/>
    <w:pPr>
      <w:pBdr/>
      <w:spacing/>
      <w:ind/>
    </w:pPr>
  </w:style>
  <w:style w:type="character" w:styleId="179">
    <w:name w:val="Footer Char"/>
    <w:basedOn w:val="768"/>
    <w:link w:val="773"/>
    <w:uiPriority w:val="99"/>
    <w:pPr>
      <w:pBdr/>
      <w:spacing/>
      <w:ind/>
    </w:pPr>
  </w:style>
  <w:style w:type="paragraph" w:styleId="180">
    <w:name w:val="Caption"/>
    <w:basedOn w:val="766"/>
    <w:next w:val="766"/>
    <w:uiPriority w:val="35"/>
    <w:unhideWhenUsed/>
    <w:qFormat/>
    <w:pPr>
      <w:pBdr/>
      <w:spacing w:after="200" w:line="240" w:lineRule="auto"/>
      <w:ind/>
    </w:pPr>
    <w:rPr>
      <w:i/>
      <w:iCs/>
      <w:color w:val="0e2841" w:themeColor="text2"/>
      <w:sz w:val="18"/>
      <w:szCs w:val="18"/>
    </w:rPr>
  </w:style>
  <w:style w:type="paragraph" w:styleId="181">
    <w:name w:val="footnote text"/>
    <w:basedOn w:val="766"/>
    <w:link w:val="182"/>
    <w:uiPriority w:val="99"/>
    <w:semiHidden/>
    <w:unhideWhenUsed/>
    <w:pPr>
      <w:pBdr/>
      <w:spacing w:after="0" w:line="240" w:lineRule="auto"/>
      <w:ind/>
    </w:pPr>
    <w:rPr>
      <w:sz w:val="20"/>
      <w:szCs w:val="20"/>
    </w:rPr>
  </w:style>
  <w:style w:type="character" w:styleId="182">
    <w:name w:val="Footnote Text Char"/>
    <w:basedOn w:val="768"/>
    <w:link w:val="181"/>
    <w:uiPriority w:val="99"/>
    <w:semiHidden/>
    <w:pPr>
      <w:pBdr/>
      <w:spacing/>
      <w:ind/>
    </w:pPr>
    <w:rPr>
      <w:sz w:val="20"/>
      <w:szCs w:val="20"/>
    </w:rPr>
  </w:style>
  <w:style w:type="character" w:styleId="183">
    <w:name w:val="footnote reference"/>
    <w:basedOn w:val="768"/>
    <w:uiPriority w:val="99"/>
    <w:semiHidden/>
    <w:unhideWhenUsed/>
    <w:pPr>
      <w:pBdr/>
      <w:spacing/>
      <w:ind/>
    </w:pPr>
    <w:rPr>
      <w:vertAlign w:val="superscript"/>
    </w:rPr>
  </w:style>
  <w:style w:type="paragraph" w:styleId="184">
    <w:name w:val="endnote text"/>
    <w:basedOn w:val="766"/>
    <w:link w:val="185"/>
    <w:uiPriority w:val="99"/>
    <w:semiHidden/>
    <w:unhideWhenUsed/>
    <w:pPr>
      <w:pBdr/>
      <w:spacing w:after="0" w:line="240" w:lineRule="auto"/>
      <w:ind/>
    </w:pPr>
    <w:rPr>
      <w:sz w:val="20"/>
      <w:szCs w:val="20"/>
    </w:rPr>
  </w:style>
  <w:style w:type="character" w:styleId="185">
    <w:name w:val="Endnote Text Char"/>
    <w:basedOn w:val="768"/>
    <w:link w:val="184"/>
    <w:uiPriority w:val="99"/>
    <w:semiHidden/>
    <w:pPr>
      <w:pBdr/>
      <w:spacing/>
      <w:ind/>
    </w:pPr>
    <w:rPr>
      <w:sz w:val="20"/>
      <w:szCs w:val="20"/>
    </w:rPr>
  </w:style>
  <w:style w:type="character" w:styleId="186">
    <w:name w:val="endnote reference"/>
    <w:basedOn w:val="768"/>
    <w:uiPriority w:val="99"/>
    <w:semiHidden/>
    <w:unhideWhenUsed/>
    <w:pPr>
      <w:pBdr/>
      <w:spacing/>
      <w:ind/>
    </w:pPr>
    <w:rPr>
      <w:vertAlign w:val="superscript"/>
    </w:rPr>
  </w:style>
  <w:style w:type="character" w:styleId="187">
    <w:name w:val="Hyperlink"/>
    <w:basedOn w:val="768"/>
    <w:uiPriority w:val="99"/>
    <w:unhideWhenUsed/>
    <w:pPr>
      <w:pBdr/>
      <w:spacing/>
      <w:ind/>
    </w:pPr>
    <w:rPr>
      <w:color w:val="0563c1" w:themeColor="hyperlink"/>
      <w:u w:val="single"/>
    </w:rPr>
  </w:style>
  <w:style w:type="character" w:styleId="188">
    <w:name w:val="FollowedHyperlink"/>
    <w:basedOn w:val="768"/>
    <w:uiPriority w:val="99"/>
    <w:semiHidden/>
    <w:unhideWhenUsed/>
    <w:pPr>
      <w:pBdr/>
      <w:spacing/>
      <w:ind/>
    </w:pPr>
    <w:rPr>
      <w:color w:val="954f72" w:themeColor="followedHyperlink"/>
      <w:u w:val="single"/>
    </w:rPr>
  </w:style>
  <w:style w:type="paragraph" w:styleId="189">
    <w:name w:val="toc 1"/>
    <w:basedOn w:val="766"/>
    <w:next w:val="766"/>
    <w:uiPriority w:val="39"/>
    <w:unhideWhenUsed/>
    <w:pPr>
      <w:pBdr/>
      <w:spacing w:after="100"/>
      <w:ind/>
    </w:pPr>
  </w:style>
  <w:style w:type="paragraph" w:styleId="190">
    <w:name w:val="toc 2"/>
    <w:basedOn w:val="766"/>
    <w:next w:val="766"/>
    <w:uiPriority w:val="39"/>
    <w:unhideWhenUsed/>
    <w:pPr>
      <w:pBdr/>
      <w:spacing w:after="100"/>
      <w:ind w:left="220"/>
    </w:pPr>
  </w:style>
  <w:style w:type="paragraph" w:styleId="191">
    <w:name w:val="toc 3"/>
    <w:basedOn w:val="766"/>
    <w:next w:val="766"/>
    <w:uiPriority w:val="39"/>
    <w:unhideWhenUsed/>
    <w:pPr>
      <w:pBdr/>
      <w:spacing w:after="100"/>
      <w:ind w:left="440"/>
    </w:pPr>
  </w:style>
  <w:style w:type="paragraph" w:styleId="192">
    <w:name w:val="toc 4"/>
    <w:basedOn w:val="766"/>
    <w:next w:val="766"/>
    <w:uiPriority w:val="39"/>
    <w:unhideWhenUsed/>
    <w:pPr>
      <w:pBdr/>
      <w:spacing w:after="100"/>
      <w:ind w:left="660"/>
    </w:pPr>
  </w:style>
  <w:style w:type="paragraph" w:styleId="193">
    <w:name w:val="toc 5"/>
    <w:basedOn w:val="766"/>
    <w:next w:val="766"/>
    <w:uiPriority w:val="39"/>
    <w:unhideWhenUsed/>
    <w:pPr>
      <w:pBdr/>
      <w:spacing w:after="100"/>
      <w:ind w:left="880"/>
    </w:pPr>
  </w:style>
  <w:style w:type="paragraph" w:styleId="194">
    <w:name w:val="toc 6"/>
    <w:basedOn w:val="766"/>
    <w:next w:val="766"/>
    <w:uiPriority w:val="39"/>
    <w:unhideWhenUsed/>
    <w:pPr>
      <w:pBdr/>
      <w:spacing w:after="100"/>
      <w:ind w:left="1100"/>
    </w:pPr>
  </w:style>
  <w:style w:type="paragraph" w:styleId="195">
    <w:name w:val="toc 7"/>
    <w:basedOn w:val="766"/>
    <w:next w:val="766"/>
    <w:uiPriority w:val="39"/>
    <w:unhideWhenUsed/>
    <w:pPr>
      <w:pBdr/>
      <w:spacing w:after="100"/>
      <w:ind w:left="1320"/>
    </w:pPr>
  </w:style>
  <w:style w:type="paragraph" w:styleId="196">
    <w:name w:val="toc 8"/>
    <w:basedOn w:val="766"/>
    <w:next w:val="766"/>
    <w:uiPriority w:val="39"/>
    <w:unhideWhenUsed/>
    <w:pPr>
      <w:pBdr/>
      <w:spacing w:after="100"/>
      <w:ind w:left="1540"/>
    </w:pPr>
  </w:style>
  <w:style w:type="paragraph" w:styleId="197">
    <w:name w:val="toc 9"/>
    <w:basedOn w:val="766"/>
    <w:next w:val="766"/>
    <w:uiPriority w:val="39"/>
    <w:unhideWhenUsed/>
    <w:pPr>
      <w:pBdr/>
      <w:spacing w:after="100"/>
      <w:ind w:left="1760"/>
    </w:pPr>
  </w:style>
  <w:style w:type="character" w:styleId="198">
    <w:name w:val="Placeholder Text"/>
    <w:basedOn w:val="7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6"/>
    <w:next w:val="766"/>
    <w:uiPriority w:val="99"/>
    <w:unhideWhenUsed/>
    <w:pPr>
      <w:pBdr/>
      <w:spacing w:after="0" w:afterAutospacing="0"/>
      <w:ind/>
    </w:pPr>
  </w:style>
  <w:style w:type="paragraph" w:styleId="766" w:default="1">
    <w:name w:val="Normal"/>
    <w:qFormat/>
    <w:pPr>
      <w:pBdr/>
      <w:spacing w:after="160" w:line="259" w:lineRule="auto"/>
      <w:ind/>
    </w:pPr>
    <w:rPr>
      <w:sz w:val="22"/>
      <w:szCs w:val="22"/>
    </w:rPr>
  </w:style>
  <w:style w:type="paragraph" w:styleId="767">
    <w:name w:val="Heading 3"/>
    <w:basedOn w:val="766"/>
    <w:next w:val="766"/>
    <w:link w:val="771"/>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character" w:styleId="771" w:customStyle="1">
    <w:name w:val="Título 3 Car"/>
    <w:basedOn w:val="768"/>
    <w:link w:val="767"/>
    <w:uiPriority w:val="9"/>
    <w:pPr>
      <w:pBdr/>
      <w:spacing/>
      <w:ind/>
    </w:pPr>
    <w:rPr>
      <w:rFonts w:asciiTheme="majorHAnsi" w:hAnsiTheme="majorHAnsi" w:eastAsiaTheme="majorEastAsia" w:cstheme="majorBidi"/>
      <w:color w:val="1f3763" w:themeColor="accent1" w:themeShade="7F"/>
    </w:rPr>
  </w:style>
  <w:style w:type="table" w:styleId="772">
    <w:name w:val="Table Grid"/>
    <w:basedOn w:val="769"/>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3">
    <w:name w:val="Footer"/>
    <w:basedOn w:val="766"/>
    <w:link w:val="774"/>
    <w:uiPriority w:val="99"/>
    <w:unhideWhenUsed/>
    <w:pPr>
      <w:pBdr/>
      <w:tabs>
        <w:tab w:val="center" w:leader="none" w:pos="4419"/>
        <w:tab w:val="right" w:leader="none" w:pos="8838"/>
      </w:tabs>
      <w:spacing w:after="0" w:line="240" w:lineRule="auto"/>
      <w:ind/>
    </w:pPr>
  </w:style>
  <w:style w:type="character" w:styleId="774" w:customStyle="1">
    <w:name w:val="Pie de página Car"/>
    <w:basedOn w:val="768"/>
    <w:link w:val="773"/>
    <w:uiPriority w:val="99"/>
    <w:pPr>
      <w:pBdr/>
      <w:spacing/>
      <w:ind/>
    </w:pPr>
    <w:rPr>
      <w:sz w:val="22"/>
      <w:szCs w:val="22"/>
    </w:rPr>
  </w:style>
  <w:style w:type="paragraph" w:styleId="775">
    <w:name w:val="List Paragraph"/>
    <w:basedOn w:val="766"/>
    <w:link w:val="776"/>
    <w:uiPriority w:val="34"/>
    <w:qFormat/>
    <w:pPr>
      <w:pBdr/>
      <w:spacing/>
      <w:ind w:left="720"/>
      <w:contextualSpacing w:val="true"/>
    </w:pPr>
  </w:style>
  <w:style w:type="character" w:styleId="776" w:customStyle="1">
    <w:name w:val="Párrafo de lista Car"/>
    <w:link w:val="775"/>
    <w:uiPriority w:val="34"/>
    <w:pPr>
      <w:pBdr/>
      <w:spacing/>
      <w:ind/>
    </w:pPr>
    <w:rPr>
      <w:sz w:val="22"/>
      <w:szCs w:val="22"/>
    </w:rPr>
  </w:style>
  <w:style w:type="paragraph" w:styleId="777">
    <w:name w:val="Header"/>
    <w:basedOn w:val="766"/>
    <w:link w:val="778"/>
    <w:uiPriority w:val="99"/>
    <w:unhideWhenUsed/>
    <w:pPr>
      <w:pBdr/>
      <w:tabs>
        <w:tab w:val="center" w:leader="none" w:pos="4419"/>
        <w:tab w:val="right" w:leader="none" w:pos="8838"/>
      </w:tabs>
      <w:spacing w:after="0" w:line="240" w:lineRule="auto"/>
      <w:ind/>
    </w:pPr>
  </w:style>
  <w:style w:type="character" w:styleId="778" w:customStyle="1">
    <w:name w:val="Encabezado Car"/>
    <w:basedOn w:val="768"/>
    <w:link w:val="777"/>
    <w:uiPriority w:val="99"/>
    <w:pPr>
      <w:pBdr/>
      <w:spacing/>
      <w:ind/>
    </w:pPr>
    <w:rPr>
      <w:sz w:val="22"/>
      <w:szCs w:val="22"/>
    </w:rPr>
  </w:style>
  <w:style w:type="table" w:styleId="779" w:customStyle="1">
    <w:name w:val="Tabla con cuadrícula1"/>
    <w:basedOn w:val="769"/>
    <w:next w:val="772"/>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0">
    <w:name w:val="annotation reference"/>
    <w:basedOn w:val="768"/>
    <w:uiPriority w:val="99"/>
    <w:semiHidden/>
    <w:unhideWhenUsed/>
    <w:pPr>
      <w:pBdr/>
      <w:spacing/>
      <w:ind/>
    </w:pPr>
    <w:rPr>
      <w:sz w:val="16"/>
      <w:szCs w:val="16"/>
    </w:rPr>
  </w:style>
  <w:style w:type="paragraph" w:styleId="781">
    <w:name w:val="annotation text"/>
    <w:basedOn w:val="766"/>
    <w:link w:val="782"/>
    <w:uiPriority w:val="99"/>
    <w:semiHidden/>
    <w:unhideWhenUsed/>
    <w:pPr>
      <w:pBdr/>
      <w:spacing w:line="240" w:lineRule="auto"/>
      <w:ind/>
    </w:pPr>
    <w:rPr>
      <w:sz w:val="20"/>
      <w:szCs w:val="20"/>
    </w:rPr>
  </w:style>
  <w:style w:type="character" w:styleId="782" w:customStyle="1">
    <w:name w:val="Texto comentario Car"/>
    <w:basedOn w:val="768"/>
    <w:link w:val="781"/>
    <w:uiPriority w:val="99"/>
    <w:semiHidden/>
    <w:pPr>
      <w:pBdr/>
      <w:spacing/>
      <w:ind/>
    </w:pPr>
    <w:rPr>
      <w:sz w:val="20"/>
      <w:szCs w:val="20"/>
    </w:rPr>
  </w:style>
  <w:style w:type="paragraph" w:styleId="783">
    <w:name w:val="annotation subject"/>
    <w:basedOn w:val="781"/>
    <w:next w:val="781"/>
    <w:link w:val="784"/>
    <w:uiPriority w:val="99"/>
    <w:semiHidden/>
    <w:unhideWhenUsed/>
    <w:pPr>
      <w:pBdr/>
      <w:spacing/>
      <w:ind/>
    </w:pPr>
    <w:rPr>
      <w:b/>
      <w:bCs/>
    </w:rPr>
  </w:style>
  <w:style w:type="character" w:styleId="784" w:customStyle="1">
    <w:name w:val="Asunto del comentario Car"/>
    <w:basedOn w:val="782"/>
    <w:link w:val="783"/>
    <w:uiPriority w:val="99"/>
    <w:semiHidden/>
    <w:pPr>
      <w:pBdr/>
      <w:spacing/>
      <w:ind/>
    </w:pPr>
    <w:rPr>
      <w:b/>
      <w:bCs/>
      <w:sz w:val="20"/>
      <w:szCs w:val="20"/>
    </w:rPr>
  </w:style>
  <w:style w:type="paragraph" w:styleId="785">
    <w:name w:val="Balloon Text"/>
    <w:basedOn w:val="766"/>
    <w:link w:val="786"/>
    <w:uiPriority w:val="99"/>
    <w:semiHidden/>
    <w:unhideWhenUsed/>
    <w:pPr>
      <w:pBdr/>
      <w:spacing w:after="0" w:line="240" w:lineRule="auto"/>
      <w:ind/>
    </w:pPr>
    <w:rPr>
      <w:rFonts w:ascii="Segoe UI" w:hAnsi="Segoe UI" w:cs="Segoe UI"/>
      <w:sz w:val="18"/>
      <w:szCs w:val="18"/>
    </w:rPr>
  </w:style>
  <w:style w:type="character" w:styleId="786" w:customStyle="1">
    <w:name w:val="Texto de globo Car"/>
    <w:basedOn w:val="768"/>
    <w:link w:val="785"/>
    <w:uiPriority w:val="99"/>
    <w:semiHidden/>
    <w:pPr>
      <w:pBdr/>
      <w:spacing/>
      <w:ind/>
    </w:pPr>
    <w:rPr>
      <w:rFonts w:ascii="Segoe UI" w:hAnsi="Segoe UI" w:cs="Segoe UI"/>
      <w:sz w:val="18"/>
      <w:szCs w:val="18"/>
    </w:rPr>
  </w:style>
  <w:style w:type="paragraph" w:styleId="787" w:customStyle="1">
    <w:name w:val="paragraph"/>
    <w:basedOn w:val="766"/>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788" w:customStyle="1">
    <w:name w:val="normaltextrun"/>
    <w:basedOn w:val="768"/>
    <w:pPr>
      <w:pBdr/>
      <w:spacing/>
      <w:ind/>
    </w:pPr>
  </w:style>
  <w:style w:type="character" w:styleId="789" w:customStyle="1">
    <w:name w:val="eop"/>
    <w:basedOn w:val="76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2001/XMLSchema-instance"/>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10</cp:revision>
  <dcterms:created xsi:type="dcterms:W3CDTF">2022-08-24T18:22:00Z</dcterms:created>
  <dcterms:modified xsi:type="dcterms:W3CDTF">2026-10-22T01:03:38Z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