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Modelo de datos</w:t>
      </w:r>
    </w:p>
    <w:p>
      <w:pPr>
        <w:jc w:val="center"/>
      </w:pPr>
      <w:r>
        <w:t>Plataforma de apoyo al Modelo de Prevención del Delito (MPD)</w:t>
        <w:br/>
        <w:t>Ingeniería en Informática — APT122</w:t>
        <w:br/>
        <w:t>Grupo 7 — De Sinis Tudor Mutis, Gianluca · Quiñenao, Gerald · Reyes, Nicolás</w:t>
      </w:r>
    </w:p>
    <w:p>
      <w:r>
        <w:t>Generado desde el esquema real de la aplicación (packages/db/src/schema/mpd.ts).</w:t>
      </w:r>
    </w:p>
    <w:p/>
    <w:p>
      <w:pPr>
        <w:pStyle w:val="Heading1"/>
      </w:pPr>
      <w:r>
        <w:t>Arquitectura en tres capas</w:t>
      </w:r>
    </w:p>
    <w:p>
      <w:r>
        <w:t>El motor se organiza en tres capas. Un delito nuevo significa un tipo de evento distinto sobre la misma maquinaria, no maquinaria distinta:</w:t>
      </w:r>
    </w:p>
    <w:p>
      <w:pPr>
        <w:jc w:val="center"/>
      </w:pPr>
      <w:r>
        <w:t>Eventos  →  Señales  →  Controles</w:t>
      </w:r>
    </w:p>
    <w:p>
      <w:r>
        <w:t>La prueba de que la capa intermedia es real: la señal fraccionamiento es compuesta por un control ligado a corrupción entre particulares y por otro ligado a lavado de activos, con una sola implementación.</w:t>
      </w:r>
    </w:p>
    <w:p>
      <w:pPr>
        <w:pStyle w:val="Heading1"/>
      </w:pPr>
      <w:r>
        <w:t>Tablas del dominio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Tabla</w:t>
            </w:r>
          </w:p>
        </w:tc>
        <w:tc>
          <w:tcPr>
            <w:tcW w:type="dxa" w:w="2880"/>
          </w:tcPr>
          <w:p>
            <w:r>
              <w:rPr>
                <w:b/>
              </w:rPr>
              <w:t>Campos</w:t>
            </w:r>
          </w:p>
        </w:tc>
        <w:tc>
          <w:tcPr>
            <w:tcW w:type="dxa" w:w="2880"/>
          </w:tcPr>
          <w:p>
            <w:r>
              <w:rPr>
                <w:b/>
              </w:rPr>
              <w:t>Propósito y decisión de diseño</w:t>
            </w:r>
          </w:p>
        </w:tc>
      </w:tr>
      <w:tr>
        <w:tc>
          <w:tcPr>
            <w:tcW w:type="dxa" w:w="2880"/>
          </w:tcPr>
          <w:p>
            <w:r>
              <w:t>proveedor</w:t>
            </w:r>
          </w:p>
        </w:tc>
        <w:tc>
          <w:tcPr>
            <w:tcW w:type="dxa" w:w="2880"/>
          </w:tcPr>
          <w:p>
            <w:r>
              <w:t>8</w:t>
            </w:r>
          </w:p>
        </w:tc>
        <w:tc>
          <w:tcPr>
            <w:tcW w:type="dxa" w:w="2880"/>
          </w:tcPr>
          <w:p>
            <w:r>
              <w:t>Contraparte de una compra. El RUT es la clave de resolución de entidades y sería la clave de unión con cualquier fuente externa chilena. El enriquecimiento se almacena point-in-time: lo que la fuente dijo cuando fue consultada, con su procedencia.</w:t>
            </w:r>
          </w:p>
        </w:tc>
      </w:tr>
      <w:tr>
        <w:tc>
          <w:tcPr>
            <w:tcW w:type="dxa" w:w="2880"/>
          </w:tcPr>
          <w:p>
            <w:r>
              <w:t>persona</w:t>
            </w:r>
          </w:p>
        </w:tc>
        <w:tc>
          <w:tcPr>
            <w:tcW w:type="dxa" w:w="2880"/>
          </w:tcPr>
          <w:p>
            <w:r>
              <w:t>6</w:t>
            </w:r>
          </w:p>
        </w:tc>
        <w:tc>
          <w:tcPr>
            <w:tcW w:type="dxa" w:w="2880"/>
          </w:tcPr>
          <w:p>
            <w:r>
              <w:t>Personas de la organización que participan de un evento: el solicitante que decide la compra y el aprobador que la autoriza. Los apellidos se almacenan separados porque una señal los lee.</w:t>
            </w:r>
          </w:p>
        </w:tc>
      </w:tr>
      <w:tr>
        <w:tc>
          <w:tcPr>
            <w:tcW w:type="dxa" w:w="2880"/>
          </w:tcPr>
          <w:p>
            <w:r>
              <w:t>lote_ingesta</w:t>
            </w:r>
          </w:p>
        </w:tc>
        <w:tc>
          <w:tcPr>
            <w:tcW w:type="dxa" w:w="2880"/>
          </w:tcPr>
          <w:p>
            <w:r>
              <w:t>6</w:t>
            </w:r>
          </w:p>
        </w:tc>
        <w:tc>
          <w:tcPr>
            <w:tcW w:type="dxa" w:w="2880"/>
          </w:tcPr>
          <w:p>
            <w:r>
              <w:t>Cada carga de archivo. Permite que toda alerta sea trazable hasta el lote del que provino y hasta quién lo cargó.</w:t>
            </w:r>
          </w:p>
        </w:tc>
      </w:tr>
      <w:tr>
        <w:tc>
          <w:tcPr>
            <w:tcW w:type="dxa" w:w="2880"/>
          </w:tcPr>
          <w:p>
            <w:r>
              <w:t>evento</w:t>
            </w:r>
          </w:p>
        </w:tc>
        <w:tc>
          <w:tcPr>
            <w:tcW w:type="dxa" w:w="2880"/>
          </w:tcPr>
          <w:p>
            <w:r>
              <w:t>11</w:t>
            </w:r>
          </w:p>
        </w:tc>
        <w:tc>
          <w:tcPr>
            <w:tcW w:type="dxa" w:w="2880"/>
          </w:tcPr>
          <w:p>
            <w:r>
              <w:t>Capa 1 del motor. Actividad de negocio ingerida. Los campos propios de cada tipo viven en `datos` (JSON) para que un delito nuevo sea un tipo de evento distinto sobre la misma maquinaria y no una bifurcación del modelo. Se guarda la fila original tal como se recibió, para que la traza muestre la entrada real.</w:t>
            </w:r>
          </w:p>
        </w:tc>
      </w:tr>
      <w:tr>
        <w:tc>
          <w:tcPr>
            <w:tcW w:type="dxa" w:w="2880"/>
          </w:tcPr>
          <w:p>
            <w:r>
              <w:t>senal</w:t>
            </w:r>
          </w:p>
        </w:tc>
        <w:tc>
          <w:tcPr>
            <w:tcW w:type="dxa" w:w="2880"/>
          </w:tcPr>
          <w:p>
            <w:r>
              <w:t>7</w:t>
            </w:r>
          </w:p>
        </w:tc>
        <w:tc>
          <w:tcPr>
            <w:tcW w:type="dxa" w:w="2880"/>
          </w:tcPr>
          <w:p>
            <w:r>
              <w:t>Capa 2 del motor. Entrada de catálogo de un detector reutilizable, compartido entre controles. La fila es lo que lee la ficha del control; el detector en sí es código registrado por su código.</w:t>
            </w:r>
          </w:p>
        </w:tc>
      </w:tr>
      <w:tr>
        <w:tc>
          <w:tcPr>
            <w:tcW w:type="dxa" w:w="2880"/>
          </w:tcPr>
          <w:p>
            <w:r>
              <w:t>control</w:t>
            </w:r>
          </w:p>
        </w:tc>
        <w:tc>
          <w:tcPr>
            <w:tcW w:type="dxa" w:w="2880"/>
          </w:tcPr>
          <w:p>
            <w:r>
              <w:t>15</w:t>
            </w:r>
          </w:p>
        </w:tc>
        <w:tc>
          <w:tcPr>
            <w:tcW w:type="dxa" w:w="2880"/>
          </w:tcPr>
          <w:p>
            <w:r>
              <w:t>Capa 3 del motor. Composición ponderada de señales ligada a un delito. Todo lo que hace un control queda descrito por estas columnas: si hubiera comportamiento en otro lugar, la definición declarativa estaría incompleta. La versión se incrementa al editar.</w:t>
            </w:r>
          </w:p>
        </w:tc>
      </w:tr>
      <w:tr>
        <w:tc>
          <w:tcPr>
            <w:tcW w:type="dxa" w:w="2880"/>
          </w:tcPr>
          <w:p>
            <w:r>
              <w:t>control_senal</w:t>
            </w:r>
          </w:p>
        </w:tc>
        <w:tc>
          <w:tcPr>
            <w:tcW w:type="dxa" w:w="2880"/>
          </w:tcPr>
          <w:p>
            <w:r>
              <w:t>4</w:t>
            </w:r>
          </w:p>
        </w:tc>
        <w:tc>
          <w:tcPr>
            <w:tcW w:type="dxa" w:w="2880"/>
          </w:tcPr>
          <w:p>
            <w:r>
              <w:t>Composición del control: qué señales lo integran y con qué peso. El puntaje se normaliza por el peso total.</w:t>
            </w:r>
          </w:p>
        </w:tc>
      </w:tr>
      <w:tr>
        <w:tc>
          <w:tcPr>
            <w:tcW w:type="dxa" w:w="2880"/>
          </w:tcPr>
          <w:p>
            <w:r>
              <w:t>alerta</w:t>
            </w:r>
          </w:p>
        </w:tc>
        <w:tc>
          <w:tcPr>
            <w:tcW w:type="dxa" w:w="2880"/>
          </w:tcPr>
          <w:p>
            <w:r>
              <w:t>10</w:t>
            </w:r>
          </w:p>
        </w:tc>
        <w:tc>
          <w:tcPr>
            <w:tcW w:type="dxa" w:w="2880"/>
          </w:tcPr>
          <w:p>
            <w:r>
              <w:t>Resultado de una evaluación que superó el umbral. Guarda una copia congelada de la definición que efectivamente corrió, de modo que la alerta siga siendo legible como la decisión que fue incluso después de que el control se edite.</w:t>
            </w:r>
          </w:p>
        </w:tc>
      </w:tr>
      <w:tr>
        <w:tc>
          <w:tcPr>
            <w:tcW w:type="dxa" w:w="2880"/>
          </w:tcPr>
          <w:p>
            <w:r>
              <w:t>alerta_senal</w:t>
            </w:r>
          </w:p>
        </w:tc>
        <w:tc>
          <w:tcPr>
            <w:tcW w:type="dxa" w:w="2880"/>
          </w:tcPr>
          <w:p>
            <w:r>
              <w:t>9</w:t>
            </w:r>
          </w:p>
        </w:tc>
        <w:tc>
          <w:tcPr>
            <w:tcW w:type="dxa" w:w="2880"/>
          </w:tcPr>
          <w:p>
            <w:r>
              <w:t>El desglose persistido, una fila por señal evaluada. Se almacena como filas y no como JSON para que las consultas de efectividad —qué señal nunca dispara— sean baratas.</w:t>
            </w:r>
          </w:p>
        </w:tc>
      </w:tr>
      <w:tr>
        <w:tc>
          <w:tcPr>
            <w:tcW w:type="dxa" w:w="2880"/>
          </w:tcPr>
          <w:p>
            <w:r>
              <w:t>revision</w:t>
            </w:r>
          </w:p>
        </w:tc>
        <w:tc>
          <w:tcPr>
            <w:tcW w:type="dxa" w:w="2880"/>
          </w:tcPr>
          <w:p>
            <w:r>
              <w:t>6</w:t>
            </w:r>
          </w:p>
        </w:tc>
        <w:tc>
          <w:tcPr>
            <w:tcW w:type="dxa" w:w="2880"/>
          </w:tcPr>
          <w:p>
            <w:r>
              <w:t>Flujo del encargado de cumplimiento. Registro de solo anexión: nunca se actualiza ni se elimina. El cierre con justificación es la evidencia de mayor valor del sistema, porque registra qué decidió la organización a pesar de la advertencia.</w:t>
            </w:r>
          </w:p>
        </w:tc>
      </w:tr>
      <w:tr>
        <w:tc>
          <w:tcPr>
            <w:tcW w:type="dxa" w:w="2880"/>
          </w:tcPr>
          <w:p>
            <w:r>
              <w:t>caso</w:t>
            </w:r>
          </w:p>
        </w:tc>
        <w:tc>
          <w:tcPr>
            <w:tcW w:type="dxa" w:w="2880"/>
          </w:tcPr>
          <w:p>
            <w:r>
              <w:t>6</w:t>
            </w:r>
          </w:p>
        </w:tc>
        <w:tc>
          <w:tcPr>
            <w:tcW w:type="dxa" w:w="2880"/>
          </w:tcPr>
          <w:p>
            <w:r>
              <w:t>Escalamiento de una alerta a caso formal, con su resumen y quién lo abrió.</w:t>
            </w:r>
          </w:p>
        </w:tc>
      </w:tr>
    </w:tbl>
    <w:p>
      <w:pPr>
        <w:pStyle w:val="Heading1"/>
      </w:pPr>
      <w:r>
        <w:t>Decisiones de diseño que el esquema impone</w:t>
      </w:r>
    </w:p>
    <w:p>
      <w:pPr>
        <w:pStyle w:val="Heading2"/>
      </w:pPr>
      <w:r>
        <w:t>Desglose persistido, no recalculado</w:t>
      </w:r>
    </w:p>
    <w:p>
      <w:r>
        <w:t>El desglose de una alerta se escribe al evaluar y no se recomputa al leer. El auditor pregunta por la decisión tal como se tomó, y la definición pudo cambiar después.</w:t>
      </w:r>
    </w:p>
    <w:p>
      <w:pPr>
        <w:pStyle w:val="Heading2"/>
      </w:pPr>
      <w:r>
        <w:t>Registro de evidencia de solo anexión</w:t>
      </w:r>
    </w:p>
    <w:p>
      <w:r>
        <w:t>Las revisiones no admiten actualización ni borrado. Si el cierre con justificación pudiera reescribirse, dejaría de ser evidencia.</w:t>
      </w:r>
    </w:p>
    <w:p>
      <w:pPr>
        <w:pStyle w:val="Heading2"/>
      </w:pPr>
      <w:r>
        <w:t>Verdad point-in-time</w:t>
      </w:r>
    </w:p>
    <w:p>
      <w:r>
        <w:t>El enriquecimiento guarda lo que la fuente dijo cuando fue consultada, con marca temporal y procedencia. Agregarlo después habría obligado a migrar registros de evidencia ya emitidos.</w:t>
      </w:r>
    </w:p>
    <w:p>
      <w:pPr>
        <w:pStyle w:val="Heading2"/>
      </w:pPr>
      <w:r>
        <w:t>RUT como clave de resolución de entidades</w:t>
      </w:r>
    </w:p>
    <w:p>
      <w:r>
        <w:t>Toda fuente pública chilena comparte la misma forma: se entrega un RUT y devuelve hechos sobre la entidad. Eso hace del enriquecimiento una sola interfaz con varios adaptadores, y no varias integraciones.</w:t>
      </w:r>
    </w:p>
    <w:p>
      <w:pPr>
        <w:pStyle w:val="Heading2"/>
      </w:pPr>
      <w:r>
        <w:t>Identificadores ASCII, vocabulario español</w:t>
      </w:r>
    </w:p>
    <w:p>
      <w:r>
        <w:t>Los nombres de tabla y columna evitan caracteres no ASCII para no depender de ellos en SQL ni en herramientas, pero el vocabulario sigue siendo el del dominio: senal y no signal. Los acentos viven en las cadenas que se muestran.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