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Requisitos no funcionales</w:t>
      </w:r>
    </w:p>
    <w:p>
      <w:pPr>
        <w:jc w:val="center"/>
      </w:pPr>
      <w:r>
        <w:t>Plataforma de apoyo al Modelo de Prevención del Delito (MPD)</w:t>
        <w:br/>
        <w:t>Ingeniería en Informática — APT122</w:t>
        <w:br/>
        <w:t>Grupo 7 — De Sinis Tudor Mutis, Gianluca · Quiñenao, Gerald · Reyes, Nicolás</w:t>
      </w:r>
    </w:p>
    <w:p>
      <w:r>
        <w:t>Extraídos del PRD del proyecto. Cada requisito es verificable.</w:t>
      </w:r>
    </w:p>
    <w:p/>
    <w:p>
      <w:pPr>
        <w:pStyle w:val="Heading1"/>
      </w:pPr>
      <w:r>
        <w:t>Explicabilidad y determinismo</w:t>
      </w:r>
    </w:p>
    <w:p>
      <w:pPr>
        <w:pStyle w:val="Heading2"/>
      </w:pPr>
      <w:r>
        <w:t>RNF-01 — La explicabilidad es una obligación de tipo, no una funcionalidad</w:t>
      </w:r>
    </w:p>
    <w:p>
      <w:r>
        <w:t>El contrato { score, breakdown[] } está impuesto en la firma de tipos del scorer, de modo que ninguna ruta de código pueda eludirlo.</w:t>
      </w:r>
    </w:p>
    <w:p>
      <w:r>
        <w:t>Verificación: el compilador rechaza una implementación que devuelva un score sin desglose.</w:t>
      </w:r>
    </w:p>
    <w:p>
      <w:r>
        <w:t>Racional: posponer la explicabilidad obliga a reescribir cada señal. Es la única decisión arquitectónica irreversible del proyecto y se toma en W2.</w:t>
      </w:r>
    </w:p>
    <w:p>
      <w:pPr>
        <w:pStyle w:val="Heading2"/>
      </w:pPr>
      <w:r>
        <w:t>RNF-02 — Determinismo del scoring</w:t>
      </w:r>
    </w:p>
    <w:p>
      <w:r>
        <w:t>Un mismo evento, evaluado por una misma versión de una definición de control, produce siempre el mismo score y el mismo desglose.</w:t>
      </w:r>
    </w:p>
    <w:p>
      <w:r>
        <w:t>Verificación: re-ejecutar el harness sobre el dataset produce resultados idénticos.</w:t>
      </w:r>
    </w:p>
    <w:p>
      <w:r>
        <w:t>Racional: sin determinismo no hay evaluación reproducible ni evidencia defendible.</w:t>
      </w:r>
    </w:p>
    <w:p>
      <w:pPr>
        <w:pStyle w:val="Heading1"/>
      </w:pPr>
      <w:r>
        <w:t>Integridad de la evidencia</w:t>
      </w:r>
    </w:p>
    <w:p>
      <w:pPr>
        <w:pStyle w:val="Heading2"/>
      </w:pPr>
      <w:r>
        <w:t>RNF-03 — Los registros de evidencia no son editables ni eliminables</w:t>
      </w:r>
    </w:p>
    <w:p>
      <w:r>
        <w:t>Ninguna alerta, acción de revisión, descarte ni cierre con justificación puede editarse ni eliminarse a través de la interfaz, por ningún usuario.</w:t>
      </w:r>
    </w:p>
    <w:p>
      <w:r>
        <w:t>Verificación: no existe ruta en la interfaz ni procedimiento tRPC que modifique o borre un registro de evidencia ya emitido.</w:t>
      </w:r>
    </w:p>
    <w:p>
      <w:r>
        <w:t>Racional: resuelve explícitamente la pregunta abierta del SPEC sobre si la evidencia puede alterarse. La respuesta es no: un rastro de evidencia editable no es evidencia. Corregir un error se hace agregando un registro, nunca modificando uno.</w:t>
      </w:r>
    </w:p>
    <w:p>
      <w:pPr>
        <w:pStyle w:val="Heading2"/>
      </w:pPr>
      <w:r>
        <w:t>RNF-04 — Atribución y sello temporal universales</w:t>
      </w:r>
    </w:p>
    <w:p>
      <w:r>
        <w:t>Todo registro producido por una acción humana lleva actor autenticado y marca temporal.</w:t>
      </w:r>
    </w:p>
    <w:p>
      <w:r>
        <w:t>Verificación: no existe registro de acción sin actor y sin fecha y hora.</w:t>
      </w:r>
    </w:p>
    <w:p>
      <w:r>
        <w:t>Un log append-only completo y el almacenamiento point-in-time del enriquecimiento son un SHOULD del contrato de alcance, no parte de este compromiso (§9).</w:t>
      </w:r>
    </w:p>
    <w:p>
      <w:pPr>
        <w:pStyle w:val="Heading1"/>
      </w:pPr>
      <w:r>
        <w:t>Seguridad y control de acceso</w:t>
      </w:r>
    </w:p>
    <w:p>
      <w:pPr>
        <w:pStyle w:val="Heading2"/>
      </w:pPr>
      <w:r>
        <w:t>RNF-05 — Autenticación obligatoria</w:t>
      </w:r>
    </w:p>
    <w:p>
      <w:r>
        <w:t>Toda superficie que muestre eventos, alertas, casos o definiciones de control exige sesión autenticada.</w:t>
      </w:r>
    </w:p>
    <w:p>
      <w:r>
        <w:t>Verificación: un visitante anónimo no puede leer ni actuar sobre ningún dato de dominio.</w:t>
      </w:r>
    </w:p>
    <w:p>
      <w:pPr>
        <w:pStyle w:val="Heading2"/>
      </w:pPr>
      <w:r>
        <w:t>RNF-06 — Un solo rol, una sola instancia</w:t>
      </w:r>
    </w:p>
    <w:p>
      <w:r>
        <w:t>El sistema opera con un rol —encargado de cumplimiento— y una organización por instancia. No hay multi-tenant ni segregación de permisos internos.</w:t>
      </w:r>
    </w:p>
    <w:p>
      <w:r>
        <w:t>Verificación: no existe modelo de roles ni de permisos más allá de autenticado / no autenticado.</w:t>
      </w:r>
    </w:p>
    <w:p>
      <w:r>
        <w:t>[SUPUESTO: con un solo rol, la encargada ve la configuración de umbrales. Esto crea una sombra de detección —quien conoce el umbral se esconde bajo él— que se declara como limitación en §11. Restringir la visibilidad de los umbrales requiere el segundo rol, que es un COULD y queda en trabajo futuro.]</w:t>
      </w:r>
    </w:p>
    <w:p>
      <w:pPr>
        <w:pStyle w:val="Heading1"/>
      </w:pPr>
      <w:r>
        <w:t>Protección de datos personales — Ley 21.719</w:t>
      </w:r>
    </w:p>
    <w:p>
      <w:pPr>
        <w:pStyle w:val="Heading2"/>
      </w:pPr>
      <w:r>
        <w:t>RNF-07 — Solo datos sintéticos</w:t>
      </w:r>
    </w:p>
    <w:p>
      <w:r>
        <w:t>El sistema opera exclusivamente sobre datos sintéticos generados para el proyecto. No se carga, procesa ni almacena ningún dato personal de una persona real en ningún momento.</w:t>
      </w:r>
    </w:p>
    <w:p>
      <w:r>
        <w:t>Verificación: todo dataset del repositorio y de la instancia desplegada es de generación propia y está declarado como tal.</w:t>
      </w:r>
    </w:p>
    <w:p>
      <w:r>
        <w:t>Racional: es la única medida que hace innecesarias, y no meramente diferidas, las obligaciones de licitud, consentimiento, EIPD, notificación de brechas y derechos del titular. [SUPUESTO: la restricción a datos sintéticos es una decisión de diseño del prototipo y una condición de su despliegue, no un accidente de la etapa de desarrollo. Si en algún momento se pretendiera cargar datos reales, este RNF debe reevaluarse antes y no después.]</w:t>
      </w:r>
    </w:p>
    <w:p>
      <w:pPr>
        <w:pStyle w:val="Heading2"/>
      </w:pPr>
      <w:r>
        <w:t>RNF-08 — Minimización y ausencia de exportación</w:t>
      </w:r>
    </w:p>
    <w:p>
      <w:r>
        <w:t>El sistema almacena únicamente los campos que alguna señal lee o que algún registro de evidencia requiere, y no ofrece exportación masiva de datos de dominio.</w:t>
      </w:r>
    </w:p>
    <w:p>
      <w:r>
        <w:t>Verificación: no existe funcionalidad de descarga de eventos, alertas ni casos.</w:t>
      </w:r>
    </w:p>
    <w:p>
      <w:r>
        <w:t>Racional: minimización de datos, y reducción de la superficie de una eventual brecha.</w:t>
      </w:r>
    </w:p>
    <w:p>
      <w:pPr>
        <w:pStyle w:val="Heading2"/>
      </w:pPr>
      <w:r>
        <w:t>RNF-09 — Retención acotada al ciclo académico</w:t>
      </w:r>
    </w:p>
    <w:p>
      <w:r>
        <w:t>Los datos de la instancia se conservan solo mientras dure la evaluación de la APT y se eliminan al cierre del proyecto.</w:t>
      </w:r>
    </w:p>
    <w:p>
      <w:r>
        <w:t>Verificación: la política está declarada en el documento de tesis y ejecutada al término.</w:t>
      </w:r>
    </w:p>
    <w:p>
      <w:r>
        <w:t>Fuera de alcance, con su razón: evaluación de impacto en privacidad (EIPD), delegado de protección de datos, registro formal de actividades de tratamiento, ejercicio de derechos ARCO y portabilidad, y procedimiento de notificación de incidentes a la Agencia. Todas presuponen un tratamiento de datos personales reales que RNF-07 excluye. Se nombran aquí, y en §11, como lo que una implantación productiva de esta plataforma tendría que resolver antes de tratar datos reales — no como omisiones.</w:t>
      </w:r>
    </w:p>
    <w:p>
      <w:pPr>
        <w:pStyle w:val="Heading1"/>
      </w:pPr>
      <w:r>
        <w:t>Idioma y vocabulario</w:t>
      </w:r>
    </w:p>
    <w:p>
      <w:pPr>
        <w:pStyle w:val="Heading2"/>
      </w:pPr>
      <w:r>
        <w:t>RNF-10 — Interfaz en español</w:t>
      </w:r>
    </w:p>
    <w:p>
      <w:r>
        <w:t>La interfaz de la aplicación está íntegramente en español.</w:t>
      </w:r>
    </w:p>
    <w:p>
      <w:r>
        <w:t>Verificación: no hay texto de interfaz en inglés en ninguna pantalla.</w:t>
      </w:r>
    </w:p>
    <w:p>
      <w:r>
        <w:t>[SUPUESTO: resuelve la pregunta abierta del SPEC sobre el idioma de la interfaz. La usuaria es una profesional de cumplimiento chilena y la audiencia evaluadora es chilena; una interfaz con chrome en inglés y términos de dominio en español sería una inconsistencia visible en la demostración.]</w:t>
      </w:r>
    </w:p>
    <w:p>
      <w:pPr>
        <w:pStyle w:val="Heading2"/>
      </w:pPr>
      <w:r>
        <w:t>RNF-11 — Vocabulario ubicuo en español en todas las capas</w:t>
      </w:r>
    </w:p>
    <w:p>
      <w:r>
        <w:t>Los términos del §3 Glosario se mantienen en español, con sus tildes, en el esquema Drizzle, en los nombres de procedimientos tRPC y en la interfaz. El resto —código, comentarios, commits, documentación técnica— está en inglés.</w:t>
      </w:r>
    </w:p>
    <w:p>
      <w:r>
        <w:t>Verificación: las columnas del esquema y los procedimientos de la API usan control, señal, evento, alerta, caso, delito, proveedor, sin traducción ni anglización.</w:t>
      </w:r>
    </w:p>
    <w:p>
      <w:r>
        <w:t>Racional: el modelo de dominio es vocabulario legal. Traducirlo introduce una capa de mapeo entre lo que dice la ley y lo que dice el código, y esa capa es justamente donde se pierde la trazabilidad que este documento existe para demostrar.</w:t>
      </w:r>
    </w:p>
    <w:p>
      <w:pPr>
        <w:pStyle w:val="Heading1"/>
      </w:pPr>
      <w:r>
        <w:t>Rendimiento y operación</w:t>
      </w:r>
    </w:p>
    <w:p>
      <w:pPr>
        <w:pStyle w:val="Heading2"/>
      </w:pPr>
      <w:r>
        <w:t>RNF-12 — Rendimiento suficiente para la demostración</w:t>
      </w:r>
    </w:p>
    <w:p>
      <w:r>
        <w:t>La carga y puntuación completa del CSV de demostración termina dentro de una interacción de interfaz, sin proceso en segundo plano visible para la usuaria.</w:t>
      </w:r>
    </w:p>
    <w:p>
      <w:r>
        <w:t>Verificación: el dataset de demostración se ingesta y puntúa en la sesión de demostración sin espera que interrumpa el relato. No se compromete un objetivo de volumen: el prototipo no es un sistema de producción y afirmar una cifra de escala sería una afirmación no medida.</w:t>
      </w:r>
    </w:p>
    <w:p>
      <w:pPr>
        <w:pStyle w:val="Heading2"/>
      </w:pPr>
      <w:r>
        <w:t>RNF-13 — Sustrato tecnológico fijo</w:t>
      </w:r>
    </w:p>
    <w:p>
      <w:r>
        <w:t>El prototipo se construye sobre el monorepo Better-T-Stack existente. No hay fase de andamiaje ni evaluación de alternativas de stack. Ver _bmad-output/specs/spec-plataforma-mpd/stack-and-conventions.md.</w:t>
      </w:r>
    </w:p>
    <w:p>
      <w:r>
        <w:t>Verificación: ninguna fase del build-order.md invierte tiempo en andamiaje, y no se incorpora ninguna dependencia de infraestructura ajena al monorepo existente.</w:t>
      </w:r>
    </w:p>
    <w:p>
      <w:r>
        <w:t>Racional: nada del diseño de dominio depende de estas elecciones; están fijadas para que no se gaste tiempo en fijarlas.</w:t>
      </w:r>
    </w:p>
    <w:p>
      <w:pPr>
        <w:pStyle w:val="Heading2"/>
      </w:pPr>
      <w:r>
        <w:t>RNF-14 — Despliegue temprano con respaldo local y video</w:t>
      </w:r>
    </w:p>
    <w:p>
      <w:r>
        <w:t>La instancia se despliega con sus datos sembrados y se verifica con anticipación a la fecha de la demostración, con un respaldo de ejecución local y un video grabado.</w:t>
      </w:r>
    </w:p>
    <w:p>
      <w:r>
        <w:t>Verificación: existen las tres cosas —instancia desplegada, ejecución local funcionando, video— antes del día de la demostración.</w:t>
      </w:r>
    </w:p>
    <w:p>
      <w:r>
        <w:t>Racional: las demostraciones de titulación mueren en infraestructura con más frecuencia que en código.</w:t>
      </w:r>
    </w:p>
    <w:p>
      <w:pPr>
        <w:pStyle w:val="Heading2"/>
      </w:pPr>
      <w:r>
        <w:t>RNF-15 — Ausencia de aprendizaje automático</w:t>
      </w:r>
    </w:p>
    <w:p>
      <w:r>
        <w:t>El sistema no incorpora aprendizaje automático en ningún rol, incluida la priorización de alertas.</w:t>
      </w:r>
    </w:p>
    <w:p>
      <w:r>
        <w:t>Verificación: no hay modelo entrenado ni dependencia de inferencia en el sistema.</w:t>
      </w:r>
    </w:p>
    <w:p>
      <w:r>
        <w:t>Racional: la puntuación basada en reglas es más defendible aquí, no menos. Un auditor que pregunta "¿por qué 0,87?" puede ser respondido por un desglose y no puede serlo por un modelo opaco. Además, priorizar carece de sentido antes de que exista un volumen de alertas que priorizar.</w:t>
      </w:r>
    </w:p>
    <w:p>
      <w:r>
        <w:t>---</w:t>
      </w:r>
    </w:p>
    <w:p>
      <w:pPr>
        <w:pStyle w:val="Heading1"/>
      </w:pPr>
      <w:r>
        <w:t>Nota sobre la Ley 21.719</w:t>
      </w:r>
    </w:p>
    <w:p>
      <w:r>
        <w:t>El prototipo elude el cumplimiento de la Ley 21.719 operando únicamente con datos sintéticos (RNF-07). Una implantación productiva tendría que resolver evaluación de impacto en privacidad, registro de actividades de tratamiento, ejercicio de derechos del titular y notificación de incidentes antes de tratar datos reales. Se nombran aquí como lo que falta, no como omisiones.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