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Retrospectivas por fase</w:t>
      </w:r>
    </w:p>
    <w:p>
      <w:pPr>
        <w:jc w:val="center"/>
      </w:pPr>
      <w:r>
        <w:t>Plataforma de apoyo al Modelo de Prevención del Delito (MPD)</w:t>
        <w:br/>
        <w:t>Ingeniería en Informática — APT122</w:t>
        <w:br/>
        <w:t>Grupo 7 — De Sinis Tudor Mutis, Gianluca · Quiñenao, Gerald · Reyes, Nicolás</w:t>
      </w:r>
    </w:p>
    <w:p/>
    <w:p>
      <w:r>
        <w:t>Cada retrospectiva se registró al cierre de la fase correspondiente, no reconstruida al final. Las fechas son verificables en el historial del repositorio de código.</w:t>
      </w:r>
    </w:p>
    <w:p>
      <w:pPr>
        <w:pStyle w:val="Heading1"/>
      </w:pPr>
      <w:r>
        <w:t>Fase 0 — Pre-compromisos</w:t>
      </w:r>
    </w:p>
    <w:p>
      <w:r>
        <w:t>Fecha de la retrospectiva: 12 de septiembre de 2026</w:t>
      </w:r>
    </w:p>
    <w:p>
      <w:pPr>
        <w:pStyle w:val="Heading2"/>
      </w:pPr>
      <w:r>
        <w:t>Qué funcionó</w:t>
      </w:r>
    </w:p>
    <w:p>
      <w:pPr>
        <w:pStyle w:val="ListBullet"/>
      </w:pPr>
      <w:r>
        <w:t>Comprometer el alcance por escrito ANTES de construir. El documento declara qué queda fuera y por qué, de modo que cualquier ampliación posterior es una enmienda consciente y no una deriva que nadie notó.</w:t>
      </w:r>
    </w:p>
    <w:p>
      <w:pPr>
        <w:pStyle w:val="ListBullet"/>
      </w:pPr>
      <w:r>
        <w:t>Fijar fechas de corte con respaldo definido, en particular para la interfaz de autoría: si no funcionaba a una fecha, se sembraban las definiciones directamente y se perdía una pantalla, no la arquitectura.</w:t>
      </w:r>
    </w:p>
    <w:p>
      <w:pPr>
        <w:pStyle w:val="Heading2"/>
      </w:pPr>
      <w:r>
        <w:t>Qué no funcionó</w:t>
      </w:r>
    </w:p>
    <w:p>
      <w:pPr>
        <w:pStyle w:val="ListBullet"/>
      </w:pPr>
      <w:r>
        <w:t>Estimamos dieciséis semanas de desarrollo y la ventana real era de once. La compresión la absorbimos de forma explícita en el documento en lugar de descubrirla en noviembre.</w:t>
      </w:r>
    </w:p>
    <w:p>
      <w:pPr>
        <w:pStyle w:val="Heading2"/>
      </w:pPr>
      <w:r>
        <w:t>Qué decidimos cambiar</w:t>
      </w:r>
    </w:p>
    <w:p>
      <w:pPr>
        <w:pStyle w:val="ListBullet"/>
      </w:pPr>
      <w:r>
        <w:t>Declarar la compresión por escrito y decidir de antemano qué etapas se comprimen: ensanchamiento y autoría. No se comprimieron la derivación legal ni el recorrido vertical.</w:t>
      </w:r>
    </w:p>
    <w:p>
      <w:pPr>
        <w:pStyle w:val="Heading1"/>
      </w:pPr>
      <w:r>
        <w:t>Fase 1 — Derivación legal</w:t>
      </w:r>
    </w:p>
    <w:p>
      <w:r>
        <w:t>Fecha de la retrospectiva: 24 de septiembre de 2026</w:t>
      </w:r>
    </w:p>
    <w:p>
      <w:pPr>
        <w:pStyle w:val="Heading2"/>
      </w:pPr>
      <w:r>
        <w:t>Qué funcionó</w:t>
      </w:r>
    </w:p>
    <w:p>
      <w:pPr>
        <w:pStyle w:val="ListBullet"/>
      </w:pPr>
      <w:r>
        <w:t>La cadena de derivación funcionó mejor de lo esperado: corrigió el diseño en lugar de confirmarlo. Detectó que el delito modelado estaba mal identificado y que el ancla legal estaba mal citada.</w:t>
      </w:r>
    </w:p>
    <w:p>
      <w:pPr>
        <w:pStyle w:val="ListBullet"/>
      </w:pPr>
      <w:r>
        <w:t>Verificar cada cita contra su fuente, y no contra fuentes secundarias, fue lo que permitió encontrar los errores.</w:t>
      </w:r>
    </w:p>
    <w:p>
      <w:pPr>
        <w:pStyle w:val="Heading2"/>
      </w:pPr>
      <w:r>
        <w:t>Qué no funcionó</w:t>
      </w:r>
    </w:p>
    <w:p>
      <w:pPr>
        <w:pStyle w:val="ListBullet"/>
      </w:pPr>
      <w:r>
        <w:t>El trabajo jurídico tomó más tiempo del estimado. La discusión doctrinaria sobre qué cuenta como situación de competencia en el art. 287 bis no tiene respuesta cerrada y hubo que tomar una decisión de autor y declararla.</w:t>
      </w:r>
    </w:p>
    <w:p>
      <w:pPr>
        <w:pStyle w:val="ListBullet"/>
      </w:pPr>
      <w:r>
        <w:t>Descubrir que ninguna señal del diseño previo leía el elemento típico del delito obligó a agregar una columna al dataset a mitad de camino.</w:t>
      </w:r>
    </w:p>
    <w:p>
      <w:pPr>
        <w:pStyle w:val="Heading2"/>
      </w:pPr>
      <w:r>
        <w:t>Qué decidimos cambiar</w:t>
      </w:r>
    </w:p>
    <w:p>
      <w:pPr>
        <w:pStyle w:val="ListBullet"/>
      </w:pPr>
      <w:r>
        <w:t>Acotar la derivación a dos delitos y declararlo: el aporte es el método, no la cobertura exhaustiva del catálogo. Marcar como decisión de autor, y no como derivación, toda celda que el texto legal no determina.</w:t>
      </w:r>
    </w:p>
    <w:p>
      <w:pPr>
        <w:pStyle w:val="Heading1"/>
      </w:pPr>
      <w:r>
        <w:t>Fase 2 a 4 — Motor, dataset y recorrido vertical</w:t>
      </w:r>
    </w:p>
    <w:p>
      <w:r>
        <w:t>Fecha de la retrospectiva: 6 de octubre de 2026</w:t>
      </w:r>
    </w:p>
    <w:p>
      <w:pPr>
        <w:pStyle w:val="Heading2"/>
      </w:pPr>
      <w:r>
        <w:t>Qué funcionó</w:t>
      </w:r>
    </w:p>
    <w:p>
      <w:pPr>
        <w:pStyle w:val="ListBullet"/>
      </w:pPr>
      <w:r>
        <w:t>Forzar el contrato del puntuador en el sistema de tipos fue la mejor decisión técnica del proyecto. Un número suelto no compila, así que la explicabilidad no depende de que alguien recuerde respetarla.</w:t>
      </w:r>
    </w:p>
    <w:p>
      <w:pPr>
        <w:pStyle w:val="ListBullet"/>
      </w:pPr>
      <w:r>
        <w:t>Construir el dataset ANTES del código que lo lee hizo que, cuando algo falló, supiéramos que el problema era del sistema y no del instrumento.</w:t>
      </w:r>
    </w:p>
    <w:p>
      <w:pPr>
        <w:pStyle w:val="ListBullet"/>
      </w:pPr>
      <w:r>
        <w:t>La regla de recorrido vertical antes que amplitud dio algo demostrable en cada hito, en lugar de varios módulos a medio terminar.</w:t>
      </w:r>
    </w:p>
    <w:p>
      <w:pPr>
        <w:pStyle w:val="Heading2"/>
      </w:pPr>
      <w:r>
        <w:t>Qué no funcionó</w:t>
      </w:r>
    </w:p>
    <w:p>
      <w:pPr>
        <w:pStyle w:val="ListBullet"/>
      </w:pPr>
      <w:r>
        <w:t>Diseñar el dataset con casos plantados que no disparan todas las señales fue incómodo: da cifras peores. Pero un plantado que dispara todo no mide nada.</w:t>
      </w:r>
    </w:p>
    <w:p>
      <w:pPr>
        <w:pStyle w:val="ListBullet"/>
      </w:pPr>
      <w:r>
        <w:t>El desglose persistía con ruido de punto flotante (0,35000000000000003), que es inaceptable en un número que lee un auditor.</w:t>
      </w:r>
    </w:p>
    <w:p>
      <w:pPr>
        <w:pStyle w:val="Heading2"/>
      </w:pPr>
      <w:r>
        <w:t>Qué decidimos cambiar</w:t>
      </w:r>
    </w:p>
    <w:p>
      <w:pPr>
        <w:pStyle w:val="ListBullet"/>
      </w:pPr>
      <w:r>
        <w:t>Dejar dos falsos negativos deliberados y documentados en el dataset: un solo rastro de motivo o habilitante no alcanza el umbral, y eso es un hallazgo de calibración, no un defecto. Redondear los aportes al persistirlos.</w:t>
      </w:r>
    </w:p>
    <w:p>
      <w:pPr>
        <w:pStyle w:val="Heading1"/>
      </w:pPr>
      <w:r>
        <w:t>Fase 5 — Instrumento de evaluación</w:t>
      </w:r>
    </w:p>
    <w:p>
      <w:r>
        <w:t>Fecha de la retrospectiva: 8 de octubre de 2026</w:t>
      </w:r>
    </w:p>
    <w:p>
      <w:pPr>
        <w:pStyle w:val="Heading2"/>
      </w:pPr>
      <w:r>
        <w:t>Qué funcionó</w:t>
      </w:r>
    </w:p>
    <w:p>
      <w:pPr>
        <w:pStyle w:val="ListBullet"/>
      </w:pPr>
      <w:r>
        <w:t>Separar la verificación del mecanismo de la medición de detección: son dos preguntas distintas y mezclarlas habría inflado las cifras.</w:t>
      </w:r>
    </w:p>
    <w:p>
      <w:pPr>
        <w:pStyle w:val="ListBullet"/>
      </w:pPr>
      <w:r>
        <w:t>Contar como omisión la conducta que no tiene fila en el archivo —el beneficio entregado al solicitante, que ocurre fuera de los sistemas— para que el recall refleje la realidad y no la cobertura del CSV.</w:t>
      </w:r>
    </w:p>
    <w:p>
      <w:pPr>
        <w:pStyle w:val="ListBullet"/>
      </w:pPr>
      <w:r>
        <w:t>Reportar por lote y nunca promediar: el lote autoconstruido demuestra el mecanismo, el lote ciego es el que tendría peso evidencial.</w:t>
      </w:r>
    </w:p>
    <w:p>
      <w:pPr>
        <w:pStyle w:val="Heading2"/>
      </w:pPr>
      <w:r>
        <w:t>Qué no funcionó</w:t>
      </w:r>
    </w:p>
    <w:p>
      <w:pPr>
        <w:pStyle w:val="ListBullet"/>
      </w:pPr>
      <w:r>
        <w:t>La contramedida más importante contra la evaluación circular no la puede ejecutar el equipo: exige una persona que no haya visto el catálogo de señales. Lo descubrimos al escribirla, no al planificarla.</w:t>
      </w:r>
    </w:p>
    <w:p>
      <w:pPr>
        <w:pStyle w:val="ListBullet"/>
      </w:pPr>
      <w:r>
        <w:t>Las métricas resultaron bajas: precisión 0,667 y recall 0,250.</w:t>
      </w:r>
    </w:p>
    <w:p>
      <w:pPr>
        <w:pStyle w:val="Heading2"/>
      </w:pPr>
      <w:r>
        <w:t>Qué decidimos cambiar</w:t>
      </w:r>
    </w:p>
    <w:p>
      <w:pPr>
        <w:pStyle w:val="ListBullet"/>
      </w:pPr>
      <w:r>
        <w:t>Declarar la limitación en el propio archivo de etiquetas: el lote B logra separación de fuente pero no de ignorancia, y no sustituye al lote ciego. Reportar las cifras bajas tal cual, porque un recall de 0,25 es el resultado correcto para señales que observan circunstancias y no el delito.</w:t>
      </w:r>
    </w:p>
    <w:p>
      <w:pPr>
        <w:pStyle w:val="Heading1"/>
      </w:pPr>
      <w:r>
        <w:t>Fase 6 — Interfaz de autoría</w:t>
      </w:r>
    </w:p>
    <w:p>
      <w:r>
        <w:t>Fecha de la retrospectiva: 15 de octubre de 2026</w:t>
      </w:r>
    </w:p>
    <w:p>
      <w:pPr>
        <w:pStyle w:val="Heading2"/>
      </w:pPr>
      <w:r>
        <w:t>Qué funcionó</w:t>
      </w:r>
    </w:p>
    <w:p>
      <w:pPr>
        <w:pStyle w:val="ListBullet"/>
      </w:pPr>
      <w:r>
        <w:t>La separación entre que el motor consuma definiciones declarativas y que exista una interfaz para escribirlas resultó ser la decisión que hizo seguro comprometer la interfaz: si fallaba, se perdía una pantalla.</w:t>
      </w:r>
    </w:p>
    <w:p>
      <w:pPr>
        <w:pStyle w:val="ListBullet"/>
      </w:pPr>
      <w:r>
        <w:t>Se completó tres semanas antes de la fecha de corte, así que el respaldo no se usó. Se mantiene operativo de todos modos.</w:t>
      </w:r>
    </w:p>
    <w:p>
      <w:pPr>
        <w:pStyle w:val="ListBullet"/>
      </w:pPr>
      <w:r>
        <w:t>Validar la definición contra el registro de detectores del motor: una definición mal formada que llegara al motor produciría un resultado auditable, que es peor que un error porque parece una evaluación real.</w:t>
      </w:r>
    </w:p>
    <w:p>
      <w:pPr>
        <w:pStyle w:val="Heading2"/>
      </w:pPr>
      <w:r>
        <w:t>Qué no funcionó</w:t>
      </w:r>
    </w:p>
    <w:p>
      <w:pPr>
        <w:pStyle w:val="ListBullet"/>
      </w:pPr>
      <w:r>
        <w:t>El primer control de prueba que autoramos no demostraba nada: detectaba las mismas compras que el control sembrado.</w:t>
      </w:r>
    </w:p>
    <w:p>
      <w:pPr>
        <w:pStyle w:val="Heading2"/>
      </w:pPr>
      <w:r>
        <w:t>Qué decidimos cambiar</w:t>
      </w:r>
    </w:p>
    <w:p>
      <w:pPr>
        <w:pStyle w:val="ListBullet"/>
      </w:pPr>
      <w:r>
        <w:t>Diseñar el control de la demostración para que levante alerta sobre una compra que el control sembrado dejaba en silencio. Eso conecta la interfaz de autoría con el hallazgo «vista pero no alertada» de la fase anterior, y demuestra la afirmación de plataforma en lugar de enunciarla.</w:t>
      </w:r>
    </w:p>
    <w:p>
      <w:pPr>
        <w:pStyle w:val="Heading1"/>
      </w:pPr>
      <w:r>
        <w:t>Conclusión transversal</w:t>
      </w:r>
    </w:p>
    <w:p>
      <w:r>
        <w:t>El patrón que se repite en las cinco retrospectivas es el mismo: las decisiones que resultaron valiosas fueron las que se tomaron antes de necesitarlas —comprometer el alcance, forzar el contrato en los tipos, construir el dataset antes del código, fijar una fecha de corte con respaldo— y los problemas aparecieron donde se dependía de la disciplina del momento. La regla que el equipo se lleva es que una restricción escrita y verificada por una herramienta vale más que una buena intención.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