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despliegue y ejecución</w:t>
      </w:r>
    </w:p>
    <w:p>
      <w:pPr>
        <w:jc w:val="center"/>
      </w:pPr>
      <w:r>
        <w:t>Plataforma de apoyo al Modelo de Prevención del Delito (MPD)</w:t>
        <w:br/>
        <w:t>Ingeniería en Informática — APT122</w:t>
        <w:br/>
        <w:t>Grupo 7 — De Sinis Tudor Mutis, Gianluca · Quiñenao, Gerald · Reyes, Nicolás</w:t>
      </w:r>
    </w:p>
    <w:p/>
    <w:p>
      <w:pPr>
        <w:pStyle w:val="Heading1"/>
      </w:pPr>
      <w:r>
        <w:t>Repositorio del código</w:t>
      </w:r>
    </w:p>
    <w:p>
      <w:r>
        <w:t>https://github.com/giandst/capstone-src</w:t>
      </w:r>
    </w:p>
    <w:p>
      <w:r>
        <w:t>El código fuente vive en su propio repositorio. Este repositorio de evidencias documenta el proyecto; no duplica la aplicación.</w:t>
      </w:r>
    </w:p>
    <w:p>
      <w:pPr>
        <w:pStyle w:val="Heading1"/>
      </w:pPr>
      <w:r>
        <w:t>Sustrato tecnológico</w:t>
      </w:r>
    </w:p>
    <w:p>
      <w:pPr>
        <w:pStyle w:val="ListBullet"/>
      </w:pPr>
      <w:r>
        <w:rPr>
          <w:b/>
        </w:rPr>
        <w:t xml:space="preserve">apps/web: </w:t>
      </w:r>
      <w:r>
        <w:t>React con TanStack Router — carga de archivo, cola de alertas, detalle de la alerta, ficha del control, formulario de autoría</w:t>
      </w:r>
    </w:p>
    <w:p>
      <w:pPr>
        <w:pStyle w:val="ListBullet"/>
      </w:pPr>
      <w:r>
        <w:rPr>
          <w:b/>
        </w:rPr>
        <w:t xml:space="preserve">apps/server: </w:t>
      </w:r>
      <w:r>
        <w:t>Hono con tRPC — ingesta, puntuación, revisión y cierre</w:t>
      </w:r>
    </w:p>
    <w:p>
      <w:pPr>
        <w:pStyle w:val="ListBullet"/>
      </w:pPr>
      <w:r>
        <w:rPr>
          <w:b/>
        </w:rPr>
        <w:t xml:space="preserve">packages/api: </w:t>
      </w:r>
      <w:r>
        <w:t>Motor de controles y capa de aplicación</w:t>
      </w:r>
    </w:p>
    <w:p>
      <w:pPr>
        <w:pStyle w:val="ListBullet"/>
      </w:pPr>
      <w:r>
        <w:rPr>
          <w:b/>
        </w:rPr>
        <w:t xml:space="preserve">packages/db: </w:t>
      </w:r>
      <w:r>
        <w:t>Drizzle ORM sobre SQLite/Turso — las 11 tablas del dominio</w:t>
      </w:r>
    </w:p>
    <w:p>
      <w:pPr>
        <w:pStyle w:val="ListBullet"/>
      </w:pPr>
      <w:r>
        <w:rPr>
          <w:b/>
        </w:rPr>
        <w:t xml:space="preserve">packages/auth: </w:t>
      </w:r>
      <w:r>
        <w:t>Better-Auth — el actor con nombre detrás de cada cierre</w:t>
      </w:r>
    </w:p>
    <w:p>
      <w:pPr>
        <w:pStyle w:val="ListBullet"/>
      </w:pPr>
      <w:r>
        <w:rPr>
          <w:b/>
        </w:rPr>
        <w:t xml:space="preserve">packages/ui: </w:t>
      </w:r>
      <w:r>
        <w:t>Componentes compartidos</w:t>
      </w:r>
    </w:p>
    <w:p>
      <w:pPr>
        <w:pStyle w:val="ListBullet"/>
      </w:pPr>
      <w:r>
        <w:rPr>
          <w:b/>
        </w:rPr>
        <w:t xml:space="preserve">Herramientas: </w:t>
      </w:r>
      <w:r>
        <w:t>Bun, Turborepo, Biome</w:t>
      </w:r>
    </w:p>
    <w:p>
      <w:pPr>
        <w:pStyle w:val="Heading1"/>
      </w:pPr>
      <w:r>
        <w:t>Puesta en marcha</w:t>
      </w:r>
    </w:p>
    <w:p>
      <w:r>
        <w:t>1. Instalar dependencias</w:t>
      </w:r>
    </w:p>
    <w:p>
      <w:r>
        <w:rPr>
          <w:rFonts w:ascii="Consolas" w:hAnsi="Consolas"/>
        </w:rPr>
        <w:t xml:space="preserve">      bun install</w:t>
      </w:r>
    </w:p>
    <w:p>
      <w:r>
        <w:t>2. Crear el esquema en la base de datos</w:t>
      </w:r>
    </w:p>
    <w:p>
      <w:r>
        <w:rPr>
          <w:rFonts w:ascii="Consolas" w:hAnsi="Consolas"/>
        </w:rPr>
        <w:t xml:space="preserve">      bun run db:push</w:t>
      </w:r>
    </w:p>
    <w:p>
      <w:r>
        <w:t>3. Sembrar el catálogo de señales y el control inicial</w:t>
      </w:r>
    </w:p>
    <w:p>
      <w:r>
        <w:rPr>
          <w:rFonts w:ascii="Consolas" w:hAnsi="Consolas"/>
        </w:rPr>
        <w:t xml:space="preserve">      bun run db:seed</w:t>
      </w:r>
    </w:p>
    <w:p>
      <w:r>
        <w:t>4. Levantar la aplicación</w:t>
      </w:r>
    </w:p>
    <w:p>
      <w:r>
        <w:rPr>
          <w:rFonts w:ascii="Consolas" w:hAnsi="Consolas"/>
        </w:rPr>
        <w:t xml:space="preserve">      bun run dev</w:t>
      </w:r>
    </w:p>
    <w:p>
      <w:r>
        <w:t>La interfaz queda en http://localhost:3001 y la API en http://localhost:3000.</w:t>
      </w:r>
    </w:p>
    <w:p>
      <w:pPr>
        <w:pStyle w:val="Heading1"/>
      </w:pPr>
      <w:r>
        <w:t>Verificaciones automatizadas</w:t>
      </w:r>
    </w:p>
    <w:p>
      <w:pPr>
        <w:pStyle w:val="ListBullet"/>
      </w:pPr>
      <w:r>
        <w:t xml:space="preserve">Pruebas del motor (8 pruebas, 29 aserciones): </w:t>
      </w:r>
      <w:r>
        <w:rPr>
          <w:rFonts w:ascii="Consolas" w:hAnsi="Consolas"/>
        </w:rPr>
        <w:t>bun test packages/api/src/motor</w:t>
      </w:r>
    </w:p>
    <w:p>
      <w:pPr>
        <w:pStyle w:val="ListBullet"/>
      </w:pPr>
      <w:r>
        <w:t xml:space="preserve">Verificación de tipos en todo el monorepo: </w:t>
      </w:r>
      <w:r>
        <w:rPr>
          <w:rFonts w:ascii="Consolas" w:hAnsi="Consolas"/>
        </w:rPr>
        <w:t>bun run check-types</w:t>
      </w:r>
    </w:p>
    <w:p>
      <w:pPr>
        <w:pStyle w:val="ListBullet"/>
      </w:pPr>
      <w:r>
        <w:t xml:space="preserve">Conformidad del dataset con su verdad fundamental: </w:t>
      </w:r>
      <w:r>
        <w:rPr>
          <w:rFonts w:ascii="Consolas" w:hAnsi="Consolas"/>
        </w:rPr>
        <w:t>bun run verificar-dataset</w:t>
      </w:r>
    </w:p>
    <w:p>
      <w:pPr>
        <w:pStyle w:val="ListBullet"/>
      </w:pPr>
      <w:r>
        <w:t xml:space="preserve">Métricas de evaluación por control: </w:t>
      </w:r>
      <w:r>
        <w:rPr>
          <w:rFonts w:ascii="Consolas" w:hAnsi="Consolas"/>
        </w:rPr>
        <w:t>bun run evaluar</w:t>
      </w:r>
    </w:p>
    <w:p>
      <w:pPr>
        <w:pStyle w:val="ListBullet"/>
      </w:pPr>
      <w:r>
        <w:t xml:space="preserve">Formato y análisis estático: </w:t>
      </w:r>
      <w:r>
        <w:rPr>
          <w:rFonts w:ascii="Consolas" w:hAnsi="Consolas"/>
        </w:rPr>
        <w:t>bun run check</w:t>
      </w:r>
    </w:p>
    <w:p>
      <w:pPr>
        <w:pStyle w:val="Heading1"/>
      </w:pPr>
      <w:r>
        <w:t>Guion de la demostración</w:t>
      </w:r>
    </w:p>
    <w:p>
      <w:r>
        <w:t>1. Restablecer la base al punto de partida: bun run db:reset-demo</w:t>
      </w:r>
    </w:p>
    <w:p>
      <w:r>
        <w:t>2. Entrar a Alertas: la cola parte vacía.</w:t>
      </w:r>
    </w:p>
    <w:p>
      <w:r>
        <w:t>3. En Ingesta, cargar datasets/demo/compras-demo-v1.csv. Resultado: 34 compras, 5 alertas.</w:t>
      </w:r>
    </w:p>
    <w:p>
      <w:r>
        <w:t>4. Abrir la alerta de score 1,00 y mostrar el desglose por señal y la ficha del control.</w:t>
      </w:r>
    </w:p>
    <w:p>
      <w:r>
        <w:t>5. Tomar en revisión, abrir caso y cerrar con justificación. Cerrar sin justificación es rechazado.</w:t>
      </w:r>
    </w:p>
    <w:p>
      <w:r>
        <w:t>6. En Controles, crear un control nuevo sin escribir código y pulsar Reevaluar: aparece una alerta sobre una compra que el control sembrado puntuaba en 0,15 y dejaba en silencio.</w:t>
      </w:r>
    </w:p>
    <w:p>
      <w:pPr>
        <w:pStyle w:val="Heading1"/>
      </w:pPr>
      <w:r>
        <w:t>Resguardos para el día de la demostración</w:t>
      </w:r>
    </w:p>
    <w:p>
      <w:r>
        <w:t>Conforme a RNF-14: la instancia se despliega con antelación, se mantiene una base local de respaldo ya cargada (packages/db/demo-fallback.db) y se graba un video de la demostración desde la versión congelada. Las demostraciones de titulación fallan por infraestructura más que por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