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SCALETTA RIUNIONE</w:t>
      </w: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AVVIO T09-0100</w:t>
      </w:r>
    </w:p>
    <w:p>
      <w:pPr>
        <w:spacing w:after="0"/>
      </w:pPr>
    </w:p>
    <w:p>
      <w:pPr>
        <w:spacing w:after="0"/>
        <w:jc w:val="center"/>
      </w:pPr>
      <w:r>
        <w:rPr>
          <w:sz w:val="24"/>
          <w:szCs w:val="24"/>
        </w:rPr>
        <w:t xml:space="preserve">Traccia per la presentazione dell'avvio</w:t>
      </w:r>
    </w:p>
    <w:p>
      <w:pPr>
        <w:spacing w:after="0"/>
        <w:jc w:val="center"/>
      </w:pPr>
      <w:r>
        <w:rPr>
          <w:sz w:val="24"/>
          <w:szCs w:val="24"/>
        </w:rPr>
        <w:t xml:space="preserve">e per le decisioni da prendere</w:t>
      </w:r>
    </w:p>
    <w:p>
      <w:pPr>
        <w:spacing w:after="480"/>
        <w:jc w:val="center"/>
      </w:pPr>
      <w:r>
        <w:rPr>
          <w:sz w:val="24"/>
          <w:szCs w:val="24"/>
        </w:rPr>
        <w:t xml:space="preserve">Documento interno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84"/>
        <w:gridCol w:w="6676"/>
      </w:tblGrid>
      <w:tr>
        <w:trPr>
          <w:cantSplit/>
          <w:tblHeader/>
        </w:trPr>
        <w:tc>
          <w:tcPr>
            <w:tcW w:w="2384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676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Scaletta_Riunione_Avvio_T09_Remazel_B3.docx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3 — 6 ottobre 2026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ottobre 2026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Redatto da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 S.r.l.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Destinatario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Documento interno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M.E.S. Remazel — ERPNext v16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Riferimento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T09-0100 (Job 26-19008) — riunione di avvio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Uso interno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240"/>
      </w:pPr>
      <w:r>
        <w:rPr>
          <w:b/>
          <w:bCs/>
          <w:color w:val="757F9B"/>
          <w:sz w:val="28"/>
          <w:szCs w:val="28"/>
        </w:rPr>
        <w:t xml:space="preserve">Indice</w:t>
      </w:r>
    </w:p>
    <w:p>
      <w:pPr>
        <w:spacing w:after="0"/>
      </w:pPr>
    </w:p>
    <w:p>
      <w:pPr>
        <w:pStyle w:val="TOC1"/>
        <w:tabs>
          <w:tab w:val="right" w:leader="dot" w:pos="9060"/>
        </w:tabs>
      </w:pPr>
      <w:r>
        <w:fldChar w:fldCharType="begin"/>
      </w:r>
      <w:r>
        <w:instrText xml:space="preserve">TOC \o "1-4" \h \z \u</w:instrText>
      </w:r>
      <w:r>
        <w:fldChar w:fldCharType="separate"/>
      </w:r>
      <w:hyperlink w:anchor="_Toc9101" w:history="1">
        <w:r>
          <w:rPr>
            <w:b/>
            <w:bCs/>
            <w:sz w:val="22"/>
            <w:szCs w:val="22"/>
          </w:rPr>
          <w:t xml:space="preserve">1. Messaggio chiave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2" w:history="1">
        <w:r>
          <w:rPr>
            <w:b/>
            <w:bCs/>
            <w:sz w:val="22"/>
            <w:szCs w:val="22"/>
          </w:rPr>
          <w:t xml:space="preserve">2. Scaletta (45 minuti)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3" w:history="1">
        <w:r>
          <w:rPr>
            <w:b/>
            <w:bCs/>
            <w:sz w:val="22"/>
            <w:szCs w:val="22"/>
          </w:rPr>
          <w:t xml:space="preserve">3. Parte subito / arriva dopo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_Toc9103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4" w:history="1">
        <w:r>
          <w:rPr>
            <w:b/>
            <w:bCs/>
            <w:sz w:val="22"/>
            <w:szCs w:val="22"/>
          </w:rPr>
          <w:t xml:space="preserve">4. Decisioni da prendere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_Toc9104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5" w:history="1">
        <w:r>
          <w:rPr>
            <w:b/>
            <w:bCs/>
            <w:sz w:val="22"/>
            <w:szCs w:val="22"/>
          </w:rPr>
          <w:t xml:space="preserve">5. Cosa dire e cosa evitare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_Toc9105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6" w:history="1">
        <w:r>
          <w:rPr>
            <w:b/>
            <w:bCs/>
            <w:sz w:val="22"/>
            <w:szCs w:val="22"/>
          </w:rPr>
          <w:t xml:space="preserve">6. Materiale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_Toc9106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7" w:history="1">
        <w:r>
          <w:rPr>
            <w:b/>
            <w:bCs/>
            <w:sz w:val="22"/>
            <w:szCs w:val="22"/>
          </w:rPr>
          <w:t xml:space="preserve">7. Link alle personalizzazioni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_Toc9107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8" w:history="1">
        <w:r>
          <w:rPr>
            <w:sz w:val="22"/>
            <w:szCs w:val="22"/>
          </w:rPr>
          <w:t xml:space="preserve">7.1 Per la dimostrazione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_Toc9108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4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9" w:history="1">
        <w:r>
          <w:rPr>
            <w:sz w:val="22"/>
            <w:szCs w:val="22"/>
          </w:rPr>
          <w:t xml:space="preserve">7.2 Impostazioni e personalizzazioni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_Toc9109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5</w:t>
        </w:r>
        <w:r>
          <w:rPr>
            <w:sz w:val="22"/>
            <w:szCs w:val="22"/>
          </w:rPr>
          <w:fldChar w:fldCharType="end"/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9101" w:name="_Toc9101"/>
      <w:r>
        <w:rPr>
          <w:b/>
          <w:bCs/>
          <w:color w:val="757F9B"/>
          <w:sz w:val="28"/>
          <w:szCs w:val="28"/>
        </w:rPr>
        <w:t xml:space="preserve">1. Messaggio chiave</w:t>
      </w:r>
      <w:bookmarkEnd w:id="9101"/>
    </w:p>
    <w:tbl>
      <w:tblPr>
        <w:tblW w:w="9060" w:type="dxa"/>
        <w:tblBorders>
          <w:top w:val="single" w:sz="8" w:space="0" w:color="4CAF50"/>
          <w:left w:val="single" w:sz="8" w:space="0" w:color="4CAF50"/>
          <w:bottom w:val="single" w:sz="8" w:space="0" w:color="4CAF50"/>
          <w:right w:val="single" w:sz="8" w:space="0" w:color="4CAF50"/>
          <w:insideH w:val="single" w:sz="8" w:space="0" w:color="4CAF50"/>
          <w:insideV w:val="single" w:sz="8" w:space="0" w:color="4CAF5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E8F5E9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 dire in apertura e in chiusura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«La T09 può partire adesso con quello che c'è. Il resto lo aggiungiamo mentre la produzione va avanti, senza fermarla.»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2" w:name="_Toc9102"/>
      <w:r>
        <w:rPr>
          <w:b/>
          <w:bCs/>
          <w:color w:val="757F9B"/>
          <w:sz w:val="28"/>
          <w:szCs w:val="28"/>
        </w:rPr>
        <w:t xml:space="preserve">2. Scaletta (45 minuti)</w:t>
      </w:r>
      <w:bookmarkEnd w:id="9102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2600"/>
        <w:gridCol w:w="5460"/>
      </w:tblGrid>
      <w:tr>
        <w:trPr>
          <w:cantSplit/>
          <w:tblHeader/>
        </w:trPr>
        <w:tc>
          <w:tcPr>
            <w:tcW w:w="1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w="2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Punto</w:t>
            </w:r>
          </w:p>
        </w:tc>
        <w:tc>
          <w:tcPr>
            <w:tcW w:w="5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 dire o mostrare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5'</w:t>
            </w:r>
          </w:p>
        </w:tc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Dove siamo</w:t>
            </w:r>
          </w:p>
        </w:tc>
        <w:tc>
          <w:tcPr>
            <w:tcW w:w="5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obiettivi su 12 completati; T09 pianificata: 6 set, 348 Work Order, oltre 3.300 Job Card; 21 operatori con accesso per reparto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10'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Dimostrazione</w:t>
            </w:r>
          </w:p>
        </w:tc>
        <w:tc>
          <w:tcPr>
            <w:tcW w:w="5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Produzione Remazel → Gantt di un set → una Job Card (descrizione, fornitore) → Pianificazione → Simula Ritardo (solo Simula, non Applica) → effetto sulla consegna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10'</w:t>
            </w:r>
          </w:p>
        </w:tc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Il go</w:t>
            </w:r>
          </w:p>
        </w:tc>
        <w:tc>
          <w:tcPr>
            <w:tcW w:w="5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Cosa parte subito e cosa arriva dopo (capitolo 3)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15'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Decisioni</w:t>
            </w:r>
          </w:p>
        </w:tc>
        <w:tc>
          <w:tcPr>
            <w:tcW w:w="5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sei decisioni del capitolo 4: per ognuna funzione responsabile e data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5'</w:t>
            </w:r>
          </w:p>
        </w:tc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Chiusura</w:t>
            </w:r>
          </w:p>
        </w:tc>
        <w:tc>
          <w:tcPr>
            <w:tcW w:w="5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Rilettura delle decisioni; primo controllo settimanale in calendario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3" w:name="_Toc9103"/>
      <w:r>
        <w:rPr>
          <w:b/>
          <w:bCs/>
          <w:color w:val="757F9B"/>
          <w:sz w:val="28"/>
          <w:szCs w:val="28"/>
        </w:rPr>
        <w:t xml:space="preserve">3. Parte subito / arriva dopo</w:t>
      </w:r>
      <w:bookmarkEnd w:id="9103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4530"/>
      </w:tblGrid>
      <w:tr>
        <w:trPr>
          <w:cantSplit/>
          <w:tblHeader/>
        </w:trPr>
        <w:tc>
          <w:tcPr>
            <w:tcW w:w="45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Parte subito</w:t>
            </w:r>
          </w:p>
        </w:tc>
        <w:tc>
          <w:tcPr>
            <w:tcW w:w="45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Arriva dopo, senza fermare la produzione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Pianificazione T09 (348 Work Order, 6 set)</w:t>
            </w:r>
          </w:p>
        </w:tc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Ordine conto lavoro e cruscotto delle esterne</w:t>
            </w:r>
          </w:p>
        </w:tc>
      </w:tr>
      <w:tr>
        <w:trPr>
          <w:cantSplit/>
        </w:trPr>
        <w:tc>
          <w:tcPr>
            <w:tcW w:w="453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 nei reparti interni, da un reparto pilota</w:t>
            </w:r>
          </w:p>
        </w:tc>
        <w:tc>
          <w:tcPr>
            <w:tcW w:w="45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Lettura dei movimenti da SAP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Master Plan, Gantt per set, carico reparti</w:t>
            </w:r>
          </w:p>
        </w:tc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a ritroso da interfaccia per i prossimi ordini</w:t>
            </w:r>
          </w:p>
        </w:tc>
      </w:tr>
      <w:tr>
        <w:trPr>
          <w:cantSplit/>
        </w:trPr>
        <w:tc>
          <w:tcPr>
            <w:tcW w:w="453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Simula e Applica Ritardo</w:t>
            </w:r>
          </w:p>
        </w:tc>
        <w:tc>
          <w:tcPr>
            <w:tcW w:w="45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Timbratura con codice a barre e stampa della scheda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Matricola sul prodotto finito</w:t>
            </w:r>
          </w:p>
        </w:tc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Lotto materiale, etichette in inglese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4" w:name="_Toc9104"/>
      <w:r>
        <w:rPr>
          <w:b/>
          <w:bCs/>
          <w:color w:val="757F9B"/>
          <w:sz w:val="28"/>
          <w:szCs w:val="28"/>
        </w:rPr>
        <w:t xml:space="preserve">4. Decisioni da prendere</w:t>
      </w:r>
      <w:bookmarkEnd w:id="9104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4460"/>
        <w:gridCol w:w="22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N.</w:t>
            </w:r>
          </w:p>
        </w:tc>
        <w:tc>
          <w:tcPr>
            <w:tcW w:w="4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Decisione</w:t>
            </w:r>
          </w:p>
        </w:tc>
        <w:tc>
          <w:tcPr>
            <w:tcW w:w="22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w="18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 rileva lo stato reale dei set 1 e 2, e entro quando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</w:p>
        </w:tc>
        <w:tc>
          <w:tcPr>
            <w:tcW w:w="18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Reparto pilota e suo referente</w:t>
            </w:r>
          </w:p>
        </w:tc>
        <w:tc>
          <w:tcPr>
            <w:tcW w:w="22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 conferma le Job Card completate; fasi aperte a fine turno; più operatori sulla stessa fase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</w:p>
        </w:tc>
        <w:tc>
          <w:tcPr>
            <w:tcW w:w="18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Lavorazioni esterne nel frattempo: modalità transitoria sulla Job Card o fuori dal sistema fino all'Ordine conto lavoro</w:t>
            </w:r>
          </w:p>
        </w:tc>
        <w:tc>
          <w:tcPr>
            <w:tcW w:w="22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Utente SAP di sola lettura (IT) e informazioni sul conto lavoro in SAP (Acquisti)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before="40" w:after="40"/>
            </w:pPr>
          </w:p>
        </w:tc>
        <w:tc>
          <w:tcPr>
            <w:tcW w:w="1800" w:type="dxa"/>
            <w:shd w:val="clear" w:color="auto" w:fill="F2F2F2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Controllo settimanale di 30 minuti: giorno, ora, partecipanti</w:t>
            </w:r>
          </w:p>
        </w:tc>
        <w:tc>
          <w:tcPr>
            <w:tcW w:w="22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5" w:name="_Toc9105"/>
      <w:r>
        <w:rPr>
          <w:b/>
          <w:bCs/>
          <w:color w:val="757F9B"/>
          <w:sz w:val="28"/>
          <w:szCs w:val="28"/>
        </w:rPr>
        <w:t xml:space="preserve">5. Cosa dire e cosa evitare</w:t>
      </w:r>
      <w:bookmarkEnd w:id="9105"/>
    </w:p>
    <w:tbl>
      <w:tblPr>
        <w:tblW w:w="9060" w:type="dxa"/>
        <w:tblBorders>
          <w:top w:val="single" w:sz="8" w:space="0" w:color="757F9B"/>
          <w:left w:val="single" w:sz="8" w:space="0" w:color="757F9B"/>
          <w:bottom w:val="single" w:sz="8" w:space="0" w:color="757F9B"/>
          <w:right w:val="single" w:sz="8" w:space="0" w:color="757F9B"/>
          <w:insideH w:val="single" w:sz="8" w:space="0" w:color="757F9B"/>
          <w:insideV w:val="single" w:sz="8" w:space="0" w:color="757F9B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 dire con chiarezza</w:t>
            </w:r>
          </w:p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Il dato vale quanto le registrazioni</w:t>
            </w:r>
            <w:r>
              <w:rPr>
                <w:sz w:val="20"/>
                <w:szCs w:val="20"/>
              </w:rPr>
              <w:t xml:space="preserve">: se i reparti non chiudono le Job Card, il sistema mostra ritardi falsi. Per questo si parte da un reparto pilota.</w:t>
            </w:r>
          </w:p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 set 1 e 2 risultano in ritardo perché sono già in produzione</w:t>
            </w:r>
            <w:r>
              <w:rPr>
                <w:sz w:val="20"/>
                <w:szCs w:val="20"/>
              </w:rPr>
              <w:t xml:space="preserve">, non per un errore: si corregge con la rilevazione dello stato reale.</w:t>
            </w:r>
          </w:p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Magazzino, acquisti e prezzi restano in SAP</w:t>
            </w:r>
            <w:r>
              <w:rPr>
                <w:sz w:val="20"/>
                <w:szCs w:val="20"/>
              </w:rPr>
              <w:t xml:space="preserve">: ERPNext pianifica e misura, non duplica SAP.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D93025"/>
          <w:left w:val="single" w:sz="8" w:space="0" w:color="D93025"/>
          <w:bottom w:val="single" w:sz="8" w:space="0" w:color="D93025"/>
          <w:right w:val="single" w:sz="8" w:space="0" w:color="D93025"/>
          <w:insideH w:val="single" w:sz="8" w:space="0" w:color="D93025"/>
          <w:insideV w:val="single" w:sz="8" w:space="0" w:color="D93025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DECE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 evitare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Date per Ordine conto lavoro e collegamento SAP: dipendono dall'accesso SAP e dalle informazioni degli Acquisti.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«È tutto automatico»: la pianificazione dei prossimi ordini passa ancora dall'amministratore; per la T09 è già fatta.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«Commessa» per indicare il Project: la commessa è il Job.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Numeri precisi non verificati: per le Job Card «oltre 3.300».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6" w:name="_Toc9106"/>
      <w:r>
        <w:rPr>
          <w:b/>
          <w:bCs/>
          <w:color w:val="757F9B"/>
          <w:sz w:val="28"/>
          <w:szCs w:val="28"/>
        </w:rPr>
        <w:t xml:space="preserve">6. Materiale</w:t>
      </w:r>
      <w:bookmarkEnd w:id="9106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4530"/>
      </w:tblGrid>
      <w:tr>
        <w:trPr>
          <w:cantSplit/>
          <w:tblHeader/>
        </w:trPr>
        <w:tc>
          <w:tcPr>
            <w:tcW w:w="45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 distribuire</w:t>
            </w:r>
          </w:p>
        </w:tc>
        <w:tc>
          <w:tcPr>
            <w:tcW w:w="453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Solo come riferimento</w:t>
            </w:r>
          </w:p>
        </w:tc>
      </w:tr>
      <w:tr>
        <w:trPr>
          <w:cantSplit/>
        </w:trPr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Riepilogo personalizzazioni e avvio (B1)</w:t>
            </w:r>
          </w:p>
        </w:tc>
        <w:tc>
          <w:tcPr>
            <w:tcW w:w="453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Analisi Obiettivi BU Combustion (B4)</w:t>
            </w:r>
          </w:p>
        </w:tc>
      </w:tr>
      <w:tr>
        <w:trPr>
          <w:cantSplit/>
        </w:trPr>
        <w:tc>
          <w:tcPr>
            <w:tcW w:w="453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Prerequisiti per il Go-Live (B2)</w:t>
            </w:r>
          </w:p>
        </w:tc>
        <w:tc>
          <w:tcPr>
            <w:tcW w:w="453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Manuale Utente (B3), Guida Concettuale (B8)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E0A800"/>
          <w:left w:val="single" w:sz="8" w:space="0" w:color="E0A800"/>
          <w:bottom w:val="single" w:sz="8" w:space="0" w:color="E0A800"/>
          <w:right w:val="single" w:sz="8" w:space="0" w:color="E0A800"/>
          <w:insideH w:val="single" w:sz="8" w:space="0" w:color="E0A800"/>
          <w:insideV w:val="single" w:sz="8" w:space="0" w:color="E0A80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FF8E1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Prima di entrare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Provare nel browser il percorso della dimostrazione: spazio di lavoro, Gantt del set, Job Card, Simula Ritardo.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7" w:name="_Toc9107"/>
      <w:r>
        <w:rPr>
          <w:b/>
          <w:bCs/>
          <w:color w:val="757F9B"/>
          <w:sz w:val="28"/>
          <w:szCs w:val="28"/>
        </w:rPr>
        <w:t xml:space="preserve">7. Link alle personalizzazioni</w:t>
      </w:r>
      <w:bookmarkEnd w:id="9107"/>
    </w:p>
    <w:p>
      <w:pPr/>
      <w:r>
        <w:rPr>
          <w:sz w:val="22"/>
          <w:szCs w:val="22"/>
        </w:rPr>
        <w:t xml:space="preserve">Collegamenti diretti al sistema (accesso con le proprie credenziali). Nel file Word: Ctrl + clic per aprire.</w:t>
      </w:r>
    </w:p>
    <w:p>
      <w:pPr>
        <w:pStyle w:val="Heading2"/>
      </w:pPr>
      <w:bookmarkStart w:id="9108" w:name="_Toc9108"/>
      <w:r>
        <w:rPr>
          <w:b/>
          <w:bCs/>
          <w:color w:val="757F9B"/>
          <w:sz w:val="24"/>
          <w:szCs w:val="24"/>
        </w:rPr>
        <w:t xml:space="preserve">7.1 Per la dimostrazione</w:t>
      </w:r>
      <w:bookmarkEnd w:id="9108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</w:t>
            </w:r>
          </w:p>
        </w:tc>
        <w:tc>
          <w:tcPr>
            <w:tcW w:w="61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Spazio di lavoro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1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https://combustionerp.remazel.com/app/produzione-remazel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Master Plan (Gantt Project)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2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https://combustionerp.remazel.com/app/project/view/gantt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Project T09-0100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3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https://combustionerp.remazel.com/app/project/PROJ-0002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Gantt Work Order T09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4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https://combustionerp.remazel.com/app/work-order/view/gantt?project=PROJ-0002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Gantt punti di monitoraggio T09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5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https://combustionerp.remazel.com/app/task/view/gantt?project=PROJ-0002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 T09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6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https://combustionerp.remazel.com/app/job-card?project=PROJ-0002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 per Simula Ritardo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7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https://combustionerp.remazel.com/app/job-card/PO-JOB05552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Fasi esterne T09 (stato conto lavoro)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8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https://combustionerp.remazel.com/app/job-card?project=PROJ-0002&amp;workstation=Lavorazione%20Esterna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Carico Reparti Settimanale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9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https://combustionerp.remazel.com/app/query-report/Carico%20Reparti%20Settimanale</w:t>
              </w:r>
            </w:hyperlink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09" w:name="_Toc9109"/>
      <w:r>
        <w:rPr>
          <w:b/>
          <w:bCs/>
          <w:color w:val="757F9B"/>
          <w:sz w:val="24"/>
          <w:szCs w:val="24"/>
        </w:rPr>
        <w:t xml:space="preserve">7.2 Impostazioni e personalizzazioni</w:t>
      </w:r>
      <w:bookmarkEnd w:id="9109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Cosa</w:t>
            </w:r>
          </w:p>
        </w:tc>
        <w:tc>
          <w:tcPr>
            <w:tcW w:w="61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Reparti (postazioni, calendario)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10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https://combustionerp.remazel.com/app/workstation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Calendario Remazel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11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https://combustionerp.remazel.com/app/holiday-list/Calendario%20Remazel%202026-2029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Calendario Fornitori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12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https://combustionerp.remazel.com/app/holiday-list/Calendario%20Fornitori%202026-2029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Impostazioni produzione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13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https://combustionerp.remazel.com/app/manufacturing-settings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Production Plan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14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https://combustionerp.remazel.com/app/production-plan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Distinte base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15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https://combustionerp.remazel.com/app/bom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Indicatori (Number Card)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16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https://combustionerp.remazel.com/app/number-card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Grafici (Dashboard Chart)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17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https://combustionerp.remazel.com/app/dashboard-chart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Menu laterale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18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https://combustionerp.remazel.com/app/workspace-sidebar/Produzione%20Remazel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Operatori (Employee)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19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https://combustionerp.remazel.com/app/employee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Permessi per reparto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20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https://combustionerp.remazel.com/app/user-permission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Matricole (Serial No)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21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https://combustionerp.remazel.com/app/serial-no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Campi Job Card (Personalizza modulo)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22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https://combustionerp.remazel.com/app/customize-form?doc_type=Job%20Card</w:t>
              </w:r>
            </w:hyperlink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Script lato server</w:t>
            </w:r>
          </w:p>
        </w:tc>
        <w:tc>
          <w:tcPr>
            <w:tcW w:w="6160" w:type="dxa"/>
          </w:tcPr>
          <w:p>
            <w:pPr>
              <w:spacing w:before="40" w:after="40"/>
            </w:pPr>
            <w:hyperlink r:id="rIdLink23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https://combustionerp.remazel.com/app/server-script</w:t>
              </w:r>
            </w:hyperlink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Script lato client</w:t>
            </w:r>
          </w:p>
        </w:tc>
        <w:tc>
          <w:tcPr>
            <w:tcW w:w="6160" w:type="dxa"/>
            <w:shd w:val="clear" w:color="auto" w:fill="F2F2F2"/>
          </w:tcPr>
          <w:p>
            <w:pPr>
              <w:spacing w:before="40" w:after="40"/>
            </w:pPr>
            <w:hyperlink r:id="rIdLink24" w:history="1">
              <w:r>
                <w:rPr>
                  <w:sz w:val="20"/>
                  <w:szCs w:val="20"/>
                  <w:color w:val="757F9B"/>
                  <w:u w:val="single"/>
                </w:rPr>
                <w:t xml:space="preserve">https://combustionerp.remazel.com/app/client-script</w:t>
              </w:r>
            </w:hyperlink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D93025"/>
          <w:left w:val="single" w:sz="8" w:space="0" w:color="D93025"/>
          <w:bottom w:val="single" w:sz="8" w:space="0" w:color="D93025"/>
          <w:right w:val="single" w:sz="8" w:space="0" w:color="D93025"/>
          <w:insideH w:val="single" w:sz="8" w:space="0" w:color="D93025"/>
          <w:insideV w:val="single" w:sz="8" w:space="0" w:color="D93025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DECE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In dimostrazione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Sulla Job Card usare solo </w:t>
            </w:r>
            <w:r>
              <w:rPr>
                <w:b/>
                <w:bCs/>
                <w:sz w:val="20"/>
                <w:szCs w:val="20"/>
              </w:rPr>
              <w:t xml:space="preserve">Simula Ritardo</w:t>
            </w:r>
            <w:r>
              <w:rPr>
                <w:sz w:val="20"/>
                <w:szCs w:val="20"/>
              </w:rPr>
              <w:t xml:space="preserve">: Applica Ritardo modifica le date pianificate.</w:t>
            </w:r>
          </w:p>
        </w:tc>
      </w:tr>
    </w:tbl>
    <w:p>
      <w:pPr>
        <w:spacing w:after="0"/>
        <w:rPr>
          <w:sz w:val="8"/>
          <w:szCs w:val="8"/>
        </w:rPr>
      </w:pPr>
    </w:p>
    <w:sectPr>
      <w:headerReference w:type="default" r:id="rId11"/>
      <w:footerReference w:type="default" r:id="rId12"/>
      <w:pgSz w:w="11906" w:h="16838"/>
      <w:pgMar w:top="1620" w:right="1417" w:bottom="1134" w:left="1417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D2734" w14:textId="77777777" w:rsidR="00AA2500" w:rsidRDefault="00AA2500">
      <w:pPr>
        <w:spacing w:after="0" w:line="240" w:lineRule="auto"/>
      </w:pPr>
      <w:r>
        <w:separator/>
      </w:r>
    </w:p>
  </w:endnote>
  <w:endnote w:type="continuationSeparator" w:id="0">
    <w:p w14:paraId="7C25E889" w14:textId="77777777" w:rsidR="00AA2500" w:rsidRDefault="00AA2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pBdr>
        <w:top w:val="single" w:sz="6" w:space="6" w:color="757F9B"/>
      </w:pBdr>
      <w:spacing w:before="60" w:after="0"/>
      <w:jc w:val="center"/>
    </w:pPr>
    <w:r>
      <w:rPr>
        <w:color w:val="888888"/>
        <w:sz w:val="16"/>
        <w:szCs w:val="16"/>
      </w:rPr>
      <w:t xml:space="preserve">Start Information Technology S.r.l. — Via Campagnola, 5 — 24126 Bergamo</w:t>
    </w:r>
  </w:p>
  <w:p>
    <w:pPr>
      <w:pStyle w:val="Footer"/>
      <w:tabs>
        <w:tab w:val="center" w:pos="4530"/>
        <w:tab w:val="right" w:pos="9060"/>
      </w:tabs>
      <w:spacing w:after="0"/>
    </w:pPr>
    <w:r>
      <w:tab/>
    </w:r>
    <w:r>
      <w:rPr>
        <w:color w:val="888888"/>
        <w:sz w:val="16"/>
        <w:szCs w:val="16"/>
      </w:rPr>
      <w:t xml:space="preserve">Tel. 035-4243395 — info@startit.net — P.IVA 02646660130 — C.C.I.A.A. 336334</w:t>
    </w:r>
    <w:r>
      <w:tab/>
    </w:r>
    <w:r>
      <w:rPr>
        <w:color w:val="888888"/>
        <w:sz w:val="16"/>
        <w:szCs w:val="16"/>
      </w:rPr>
      <w:t xml:space="preserve">Pag.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8AA64" w14:textId="77777777" w:rsidR="00AA2500" w:rsidRDefault="00AA2500">
      <w:pPr>
        <w:spacing w:after="0" w:line="240" w:lineRule="auto"/>
      </w:pPr>
      <w:r>
        <w:separator/>
      </w:r>
    </w:p>
  </w:footnote>
  <w:footnote w:type="continuationSeparator" w:id="0">
    <w:p w14:paraId="578EEA39" w14:textId="77777777" w:rsidR="00AA2500" w:rsidRDefault="00AA2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9060" w:type="dxa"/>
      <w:tblBorders>
        <w:bottom w:val="single" w:sz="6" w:space="0" w:color="757F9B"/>
        <w:insideV w:val="single" w:sz="3" w:space="0" w:color="757F9B"/>
      </w:tblBorders>
      <w:tblLayout w:type="fixed"/>
      <w:tblLook w:val="04A0" w:firstRow="1" w:lastRow="0" w:firstColumn="1" w:lastColumn="0" w:noHBand="0" w:noVBand="1"/>
    </w:tblPr>
    <w:tblGrid>
      <w:gridCol w:w="2400"/>
      <w:gridCol w:w="3000"/>
      <w:gridCol w:w="3660"/>
    </w:tblGrid>
    <w:tr>
      <w:tc>
        <w:tcPr>
          <w:tcW w:w="2400" w:type="dxa"/>
          <w:vAlign w:val="center"/>
        </w:tcPr>
        <w:p>
          <w:pPr>
            <w:spacing w:before="20" w:after="20"/>
          </w:pPr>
          <w:r>
            <w:drawing>
              <wp:inline distT="0" distB="0" distL="0" distR="0">
                <wp:extent cx="1368000" cy="322100"/>
                <wp:effectExtent l="0" t="0" r="0" b="0"/>
                <wp:docPr id="1" name="Logo Start I.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tartit.png"/>
                        <pic:cNvPicPr/>
                      </pic:nvPicPr>
                      <pic:blipFill>
                        <a:blip r:embed="rId1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0" cy="32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0" w:type="dxa"/>
          <w:vAlign w:val="center"/>
        </w:tcPr>
        <w:p>
          <w:pPr>
            <w:spacing w:before="20" w:after="20"/>
            <w:jc w:val="center"/>
          </w:pPr>
          <w:r>
            <w:rPr>
              <w:b/>
              <w:bCs/>
              <w:color w:val="757F9B"/>
              <w:sz w:val="18"/>
              <w:szCs w:val="18"/>
            </w:rPr>
            <w:t xml:space="preserve">Documento interno</w:t>
          </w:r>
        </w:p>
      </w:tc>
      <w:tc>
        <w:tcPr>
          <w:tcW w:w="3660" w:type="dxa"/>
          <w:vAlign w:val="center"/>
        </w:tcPr>
        <w:p>
          <w:pPr>
            <w:spacing w:before="20" w:after="20"/>
            <w:jc w:val="right"/>
          </w:pPr>
          <w:r>
            <w:rPr>
              <w:b/>
              <w:bCs/>
              <w:color w:val="757F9B"/>
              <w:sz w:val="18"/>
              <w:szCs w:val="18"/>
            </w:rPr>
            <w:t xml:space="preserve">Scaletta riunione avvio T09</w:t>
          </w:r>
        </w:p>
      </w:tc>
    </w:tr>
  </w:tbl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multiLevelType w:val="hybridMultilevel"/>
    <w:lvl w:ilvl="0">
      <w:start w:val="1"/>
      <w:numFmt w:val="bullet"/>
      <w:lvlText w:val="•"/>
      <w:lvlJc w:val="left"/>
      <w:pPr>
        <w:ind w:left="396" w:hanging="226"/>
      </w:pPr>
      <w:rPr>
        <w:rFonts w:ascii="Arial" w:hAnsi="Arial" w:cs="Arial" w:hint="default"/>
        <w:color w:val="757F9B"/>
      </w:rPr>
    </w:lvl>
    <w:lvl w:ilvl="1">
      <w:start w:val="1"/>
      <w:numFmt w:val="bullet"/>
      <w:lvlText w:val="–"/>
      <w:lvlJc w:val="left"/>
      <w:pPr>
        <w:ind w:left="792" w:hanging="226"/>
      </w:pPr>
      <w:rPr>
        <w:rFonts w:ascii="Arial" w:hAnsi="Arial" w:cs="Arial" w:hint="default"/>
        <w:color w:val="757F9B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A69"/>
    <w:rsid w:val="00326F90"/>
    <w:rsid w:val="00356287"/>
    <w:rsid w:val="003D4130"/>
    <w:rsid w:val="004E6AE1"/>
    <w:rsid w:val="00801117"/>
    <w:rsid w:val="00AA1D8D"/>
    <w:rsid w:val="00AA2500"/>
    <w:rsid w:val="00AC6F7C"/>
    <w:rsid w:val="00B47730"/>
    <w:rsid w:val="00CB0664"/>
    <w:rsid w:val="00CE13E1"/>
    <w:rsid w:val="00D84985"/>
    <w:rsid w:val="00E2230B"/>
    <w:rsid w:val="00F340E0"/>
    <w:rsid w:val="00F80F61"/>
    <w:rsid w:val="00F825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0E6D0D"/>
  <w14:defaultImageDpi w14:val="300"/>
  <w15:docId w15:val="{EB805A7D-779E-4FCB-918C-99100F3D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color w:val="000000"/>
      <w:lang w:val="it-IT" w:eastAsia="it-IT" w:bidi="it-IT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outlineLvl w:val="0"/>
    </w:pPr>
    <w:rPr>
      <w:rFonts w:ascii="Arial" w:eastAsia="Arial" w:hAnsi="Arial" w:cs="Arial"/>
      <w:b/>
      <w:bCs/>
      <w:color w:val="757F9B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80" w:after="100"/>
      <w:outlineLvl w:val="1"/>
    </w:pPr>
    <w:rPr>
      <w:rFonts w:ascii="Arial" w:eastAsia="Arial" w:hAnsi="Arial" w:cs="Arial"/>
      <w:b/>
      <w:bCs/>
      <w:color w:val="757F9B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Arial" w:eastAsia="Arial" w:hAnsi="Arial" w:cs="Arial"/>
      <w:b/>
      <w:bCs/>
      <w:color w:val="757F9B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00" w:after="80"/>
      <w:outlineLvl w:val="3"/>
    </w:pPr>
    <w:rPr>
      <w:rFonts w:ascii="Arial" w:eastAsia="Arial" w:hAnsi="Arial" w:cs="Arial"/>
      <w:b/>
      <w:bCs/>
      <w:i/>
      <w:iCs/>
      <w:color w:val="757F9B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uiPriority w:val="99"/>
    <w:pPr>
      <w:spacing w:after="0" w:line="240" w:lineRule="auto"/>
    </w:pPr>
    <w:rPr>
      <w:color w:val="888888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spacing w:after="90" w:line="276" w:lineRule="auto"/>
      <w:contextualSpacing/>
    </w:pPr>
    <w:rPr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pPr>
      <w:spacing w:after="100"/>
    </w:pPr>
  </w:style>
  <w:style w:type="paragraph" w:styleId="TOC2">
    <w:name w:val="toc 2"/>
    <w:basedOn w:val="Normal"/>
    <w:next w:val="Normal"/>
    <w:autoRedefine/>
    <w:uiPriority w:val="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Link1" Type="http://schemas.openxmlformats.org/officeDocument/2006/relationships/hyperlink" Target="https://combustionerp.remazel.com/app/produzione-remazel" TargetMode="External"/><Relationship Id="rIdLink2" Type="http://schemas.openxmlformats.org/officeDocument/2006/relationships/hyperlink" Target="https://combustionerp.remazel.com/app/project/view/gantt" TargetMode="External"/><Relationship Id="rIdLink3" Type="http://schemas.openxmlformats.org/officeDocument/2006/relationships/hyperlink" Target="https://combustionerp.remazel.com/app/project/PROJ-0002" TargetMode="External"/><Relationship Id="rIdLink4" Type="http://schemas.openxmlformats.org/officeDocument/2006/relationships/hyperlink" Target="https://combustionerp.remazel.com/app/work-order/view/gantt?project=PROJ-0002" TargetMode="External"/><Relationship Id="rIdLink5" Type="http://schemas.openxmlformats.org/officeDocument/2006/relationships/hyperlink" Target="https://combustionerp.remazel.com/app/task/view/gantt?project=PROJ-0002" TargetMode="External"/><Relationship Id="rIdLink6" Type="http://schemas.openxmlformats.org/officeDocument/2006/relationships/hyperlink" Target="https://combustionerp.remazel.com/app/job-card?project=PROJ-0002" TargetMode="External"/><Relationship Id="rIdLink7" Type="http://schemas.openxmlformats.org/officeDocument/2006/relationships/hyperlink" Target="https://combustionerp.remazel.com/app/job-card/PO-JOB05552" TargetMode="External"/><Relationship Id="rIdLink8" Type="http://schemas.openxmlformats.org/officeDocument/2006/relationships/hyperlink" Target="https://combustionerp.remazel.com/app/job-card?project=PROJ-0002&amp;workstation=Lavorazione%20Esterna" TargetMode="External"/><Relationship Id="rIdLink9" Type="http://schemas.openxmlformats.org/officeDocument/2006/relationships/hyperlink" Target="https://combustionerp.remazel.com/app/query-report/Carico%20Reparti%20Settimanale" TargetMode="External"/><Relationship Id="rIdLink10" Type="http://schemas.openxmlformats.org/officeDocument/2006/relationships/hyperlink" Target="https://combustionerp.remazel.com/app/workstation" TargetMode="External"/><Relationship Id="rIdLink11" Type="http://schemas.openxmlformats.org/officeDocument/2006/relationships/hyperlink" Target="https://combustionerp.remazel.com/app/holiday-list/Calendario%20Remazel%202026-2029" TargetMode="External"/><Relationship Id="rIdLink12" Type="http://schemas.openxmlformats.org/officeDocument/2006/relationships/hyperlink" Target="https://combustionerp.remazel.com/app/holiday-list/Calendario%20Fornitori%202026-2029" TargetMode="External"/><Relationship Id="rIdLink13" Type="http://schemas.openxmlformats.org/officeDocument/2006/relationships/hyperlink" Target="https://combustionerp.remazel.com/app/manufacturing-settings" TargetMode="External"/><Relationship Id="rIdLink14" Type="http://schemas.openxmlformats.org/officeDocument/2006/relationships/hyperlink" Target="https://combustionerp.remazel.com/app/production-plan" TargetMode="External"/><Relationship Id="rIdLink15" Type="http://schemas.openxmlformats.org/officeDocument/2006/relationships/hyperlink" Target="https://combustionerp.remazel.com/app/bom" TargetMode="External"/><Relationship Id="rIdLink16" Type="http://schemas.openxmlformats.org/officeDocument/2006/relationships/hyperlink" Target="https://combustionerp.remazel.com/app/number-card" TargetMode="External"/><Relationship Id="rIdLink17" Type="http://schemas.openxmlformats.org/officeDocument/2006/relationships/hyperlink" Target="https://combustionerp.remazel.com/app/dashboard-chart" TargetMode="External"/><Relationship Id="rIdLink18" Type="http://schemas.openxmlformats.org/officeDocument/2006/relationships/hyperlink" Target="https://combustionerp.remazel.com/app/workspace-sidebar/Produzione%20Remazel" TargetMode="External"/><Relationship Id="rIdLink19" Type="http://schemas.openxmlformats.org/officeDocument/2006/relationships/hyperlink" Target="https://combustionerp.remazel.com/app/employee" TargetMode="External"/><Relationship Id="rIdLink20" Type="http://schemas.openxmlformats.org/officeDocument/2006/relationships/hyperlink" Target="https://combustionerp.remazel.com/app/user-permission" TargetMode="External"/><Relationship Id="rIdLink21" Type="http://schemas.openxmlformats.org/officeDocument/2006/relationships/hyperlink" Target="https://combustionerp.remazel.com/app/serial-no" TargetMode="External"/><Relationship Id="rIdLink22" Type="http://schemas.openxmlformats.org/officeDocument/2006/relationships/hyperlink" Target="https://combustionerp.remazel.com/app/customize-form?doc_type=Job%20Card" TargetMode="External"/><Relationship Id="rIdLink23" Type="http://schemas.openxmlformats.org/officeDocument/2006/relationships/hyperlink" Target="https://combustionerp.remazel.com/app/server-script" TargetMode="External"/><Relationship Id="rIdLink24" Type="http://schemas.openxmlformats.org/officeDocument/2006/relationships/hyperlink" Target="https://combustionerp.remazel.com/app/client-script" TargetMode="External"/></Relationships>
</file>

<file path=word/_rels/header1.xml.rels><?xml version="1.0" encoding="UTF-8" standalone="yes"?>
<Relationships xmlns="http://schemas.openxmlformats.org/package/2006/relationships"><Relationship Id="rId100" Type="http://schemas.openxmlformats.org/officeDocument/2006/relationships/image" Target="media/logo_starti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Dorini</cp:lastModifiedBy>
  <cp:revision>6</cp:revision>
  <dcterms:created xsi:type="dcterms:W3CDTF">2013-12-23T23:15:00Z</dcterms:created>
  <dcterms:modified xsi:type="dcterms:W3CDTF">2026-09-16T16:07:00Z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0x010100B6FAAF7B5A6BD94584FE8AD999C4E47F</vt:lpwstr>
  </property>
  <property fmtid="{D5CDD505-2E9C-101B-9397-08002B2CF9AE}" pid="3" name="MediaServiceImageTags">
    <vt:lpwstr/>
  </property>
</Properties>
</file>