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  <w:jc w:val="center"/>
      </w:pPr>
      <w:r>
        <w:rPr>
          <w:b/>
          <w:bCs/>
          <w:sz w:val="40"/>
          <w:szCs w:val="40"/>
        </w:rPr>
        <w:t xml:space="preserve">RIEPILOGO PERSONALIZZAZIONI</w:t>
      </w:r>
    </w:p>
    <w:p>
      <w:pPr>
        <w:spacing w:after="0"/>
        <w:jc w:val="center"/>
      </w:pPr>
      <w:r>
        <w:rPr>
          <w:b/>
          <w:bCs/>
          <w:sz w:val="40"/>
          <w:szCs w:val="40"/>
        </w:rPr>
        <w:t xml:space="preserve">E AVVIO DEL CICLO</w:t>
      </w:r>
    </w:p>
    <w:p>
      <w:pPr>
        <w:spacing w:after="0"/>
      </w:pPr>
    </w:p>
    <w:p>
      <w:pPr>
        <w:spacing w:after="0"/>
        <w:jc w:val="center"/>
      </w:pPr>
      <w:r>
        <w:rPr>
          <w:sz w:val="24"/>
          <w:szCs w:val="24"/>
        </w:rPr>
        <w:t xml:space="preserve">Stato degli obiettivi, funzioni realizzate su ERPNext v16,</w:t>
      </w:r>
    </w:p>
    <w:p>
      <w:pPr>
        <w:spacing w:after="0"/>
        <w:jc w:val="center"/>
      </w:pPr>
      <w:r>
        <w:rPr>
          <w:sz w:val="24"/>
          <w:szCs w:val="24"/>
        </w:rPr>
        <w:t xml:space="preserve">guida all'avvio e al subentro in corsa</w:t>
      </w:r>
    </w:p>
    <w:p>
      <w:pPr>
        <w:spacing w:after="480"/>
        <w:jc w:val="center"/>
      </w:pPr>
      <w:r>
        <w:rPr>
          <w:sz w:val="24"/>
          <w:szCs w:val="24"/>
        </w:rPr>
        <w:t xml:space="preserve">Remazel Engineering S.p.A. — BU Combustion</w:t>
      </w:r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2384"/>
        <w:gridCol w:w="6676"/>
      </w:tblGrid>
      <w:tr>
        <w:trPr>
          <w:cantSplit/>
          <w:tblHeader/>
        </w:trPr>
        <w:tc>
          <w:tcPr>
            <w:tcW w:w="2384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w="6676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Valore</w:t>
            </w:r>
          </w:p>
        </w:tc>
      </w:tr>
      <w:tr>
        <w:trPr>
          <w:cantSplit/>
        </w:trPr>
        <w:tc>
          <w:tcPr>
            <w:tcW w:w="2384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Documento</w:t>
            </w:r>
          </w:p>
        </w:tc>
        <w:tc>
          <w:tcPr>
            <w:tcW w:w="6676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Riepilogo_Personalizzazioni_Avvio_Remazel_B1.docx</w:t>
            </w:r>
          </w:p>
        </w:tc>
      </w:tr>
      <w:tr>
        <w:trPr>
          <w:cantSplit/>
        </w:trPr>
        <w:tc>
          <w:tcPr>
            <w:tcW w:w="2384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Versione</w:t>
            </w:r>
          </w:p>
        </w:tc>
        <w:tc>
          <w:tcPr>
            <w:tcW w:w="6676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Bozza 1 — 6 ottobre 2026</w:t>
            </w:r>
          </w:p>
        </w:tc>
      </w:tr>
      <w:tr>
        <w:trPr>
          <w:cantSplit/>
        </w:trPr>
        <w:tc>
          <w:tcPr>
            <w:tcW w:w="2384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w="6676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6 ottobre 2026</w:t>
            </w:r>
          </w:p>
        </w:tc>
      </w:tr>
      <w:tr>
        <w:trPr>
          <w:cantSplit/>
        </w:trPr>
        <w:tc>
          <w:tcPr>
            <w:tcW w:w="2384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Redatto da</w:t>
            </w:r>
          </w:p>
        </w:tc>
        <w:tc>
          <w:tcPr>
            <w:tcW w:w="6676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Start I.T. S.r.l.</w:t>
            </w:r>
          </w:p>
        </w:tc>
      </w:tr>
      <w:tr>
        <w:trPr>
          <w:cantSplit/>
        </w:trPr>
        <w:tc>
          <w:tcPr>
            <w:tcW w:w="2384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Destinatario</w:t>
            </w:r>
          </w:p>
        </w:tc>
        <w:tc>
          <w:tcPr>
            <w:tcW w:w="6676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Remazel Engineering S.p.A. — BU Combustion</w:t>
            </w:r>
          </w:p>
        </w:tc>
      </w:tr>
      <w:tr>
        <w:trPr>
          <w:cantSplit/>
        </w:trPr>
        <w:tc>
          <w:tcPr>
            <w:tcW w:w="2384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Sistema</w:t>
            </w:r>
          </w:p>
        </w:tc>
        <w:tc>
          <w:tcPr>
            <w:tcW w:w="6676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M.E.S. Remazel — ERPNext v16</w:t>
            </w:r>
          </w:p>
        </w:tc>
      </w:tr>
      <w:tr>
        <w:trPr>
          <w:cantSplit/>
        </w:trPr>
        <w:tc>
          <w:tcPr>
            <w:tcW w:w="2384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Riferimento</w:t>
            </w:r>
          </w:p>
        </w:tc>
        <w:tc>
          <w:tcPr>
            <w:tcW w:w="6676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T09-0100 (Job 26-19008) · T08-0100 (Job 24-19006) — combustionerp.remazel.com</w:t>
            </w:r>
          </w:p>
        </w:tc>
      </w:tr>
      <w:tr>
        <w:trPr>
          <w:cantSplit/>
        </w:trPr>
        <w:tc>
          <w:tcPr>
            <w:tcW w:w="2384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w="6676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Bozza operativa</w:t>
            </w:r>
          </w:p>
        </w:tc>
      </w:tr>
    </w:tbl>
    <w:p>
      <w:pPr>
        <w:spacing w:after="0"/>
      </w:pPr>
      <w:r>
        <w:br w:type="page"/>
      </w:r>
    </w:p>
    <w:p>
      <w:pPr>
        <w:keepNext/>
        <w:spacing w:after="240"/>
      </w:pPr>
      <w:r>
        <w:rPr>
          <w:b/>
          <w:bCs/>
          <w:color w:val="757F9B"/>
          <w:sz w:val="28"/>
          <w:szCs w:val="28"/>
        </w:rPr>
        <w:t xml:space="preserve">Indice</w:t>
      </w:r>
    </w:p>
    <w:p>
      <w:pPr>
        <w:spacing w:after="0"/>
      </w:pPr>
    </w:p>
    <w:p>
      <w:pPr>
        <w:pStyle w:val="TOC1"/>
        <w:tabs>
          <w:tab w:val="right" w:leader="dot" w:pos="9060"/>
        </w:tabs>
      </w:pPr>
      <w:r>
        <w:fldChar w:fldCharType="begin"/>
      </w:r>
      <w:r>
        <w:instrText xml:space="preserve">TOC \o "1-4" \h \z \u</w:instrText>
      </w:r>
      <w:r>
        <w:fldChar w:fldCharType="separate"/>
      </w:r>
      <w:hyperlink w:anchor="_Toc9101" w:history="1">
        <w:r>
          <w:rPr>
            <w:b/>
            <w:bCs/>
            <w:sz w:val="22"/>
            <w:szCs w:val="22"/>
          </w:rPr>
          <w:t xml:space="preserve">1. Scopo del documento e situazione in sintesi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_Toc9101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3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02" w:history="1">
        <w:r>
          <w:rPr>
            <w:b/>
            <w:bCs/>
            <w:sz w:val="22"/>
            <w:szCs w:val="22"/>
          </w:rPr>
          <w:t xml:space="preserve">2. Stato dei 12 obiettivi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_Toc9102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4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03" w:history="1">
        <w:r>
          <w:rPr>
            <w:b/>
            <w:bCs/>
            <w:sz w:val="22"/>
            <w:szCs w:val="22"/>
          </w:rPr>
          <w:t xml:space="preserve">3. Personalizzazioni a sistema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_Toc9103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5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2"/>
        <w:tabs>
          <w:tab w:val="right" w:leader="dot" w:pos="9060"/>
        </w:tabs>
      </w:pPr>
      <w:hyperlink w:anchor="_Toc9104" w:history="1">
        <w:r>
          <w:rPr>
            <w:sz w:val="22"/>
            <w:szCs w:val="22"/>
          </w:rPr>
          <w:t xml:space="preserve">3.1 Pianificazione, capacità e calendari</w:t>
        </w:r>
        <w:r>
          <w:tab/>
        </w:r>
        <w:r>
          <w:rPr>
            <w:sz w:val="22"/>
            <w:szCs w:val="22"/>
          </w:rPr>
          <w:fldChar w:fldCharType="begin"/>
        </w:r>
        <w:r>
          <w:rPr>
            <w:sz w:val="22"/>
            <w:szCs w:val="22"/>
          </w:rPr>
          <w:instrText xml:space="preserve"> PAGEREF _Toc9104 \h </w:instrText>
        </w:r>
        <w:r>
          <w:rPr>
            <w:sz w:val="22"/>
            <w:szCs w:val="22"/>
          </w:rPr>
          <w:fldChar w:fldCharType="separate"/>
        </w:r>
        <w:r>
          <w:rPr>
            <w:sz w:val="22"/>
            <w:szCs w:val="22"/>
          </w:rPr>
          <w:t>5</w:t>
        </w:r>
        <w:r>
          <w:rPr>
            <w:sz w:val="22"/>
            <w:szCs w:val="22"/>
          </w:rPr>
          <w:fldChar w:fldCharType="end"/>
        </w:r>
      </w:hyperlink>
    </w:p>
    <w:p>
      <w:pPr>
        <w:pStyle w:val="TOC2"/>
        <w:tabs>
          <w:tab w:val="right" w:leader="dot" w:pos="9060"/>
        </w:tabs>
      </w:pPr>
      <w:hyperlink w:anchor="_Toc9105" w:history="1">
        <w:r>
          <w:rPr>
            <w:sz w:val="22"/>
            <w:szCs w:val="22"/>
          </w:rPr>
          <w:t xml:space="preserve">3.2 Work Order e Job Card</w:t>
        </w:r>
        <w:r>
          <w:tab/>
        </w:r>
        <w:r>
          <w:rPr>
            <w:sz w:val="22"/>
            <w:szCs w:val="22"/>
          </w:rPr>
          <w:fldChar w:fldCharType="begin"/>
        </w:r>
        <w:r>
          <w:rPr>
            <w:sz w:val="22"/>
            <w:szCs w:val="22"/>
          </w:rPr>
          <w:instrText xml:space="preserve"> PAGEREF _Toc9105 \h </w:instrText>
        </w:r>
        <w:r>
          <w:rPr>
            <w:sz w:val="22"/>
            <w:szCs w:val="22"/>
          </w:rPr>
          <w:fldChar w:fldCharType="separate"/>
        </w:r>
        <w:r>
          <w:rPr>
            <w:sz w:val="22"/>
            <w:szCs w:val="22"/>
          </w:rPr>
          <w:t>6</w:t>
        </w:r>
        <w:r>
          <w:rPr>
            <w:sz w:val="22"/>
            <w:szCs w:val="22"/>
          </w:rPr>
          <w:fldChar w:fldCharType="end"/>
        </w:r>
      </w:hyperlink>
    </w:p>
    <w:p>
      <w:pPr>
        <w:pStyle w:val="TOC2"/>
        <w:tabs>
          <w:tab w:val="right" w:leader="dot" w:pos="9060"/>
        </w:tabs>
      </w:pPr>
      <w:hyperlink w:anchor="_Toc9106" w:history="1">
        <w:r>
          <w:rPr>
            <w:sz w:val="22"/>
            <w:szCs w:val="22"/>
          </w:rPr>
          <w:t xml:space="preserve">3.3 Lavorazioni esterne (expediting)</w:t>
        </w:r>
        <w:r>
          <w:tab/>
        </w:r>
        <w:r>
          <w:rPr>
            <w:sz w:val="22"/>
            <w:szCs w:val="22"/>
          </w:rPr>
          <w:fldChar w:fldCharType="begin"/>
        </w:r>
        <w:r>
          <w:rPr>
            <w:sz w:val="22"/>
            <w:szCs w:val="22"/>
          </w:rPr>
          <w:instrText xml:space="preserve"> PAGEREF _Toc9106 \h </w:instrText>
        </w:r>
        <w:r>
          <w:rPr>
            <w:sz w:val="22"/>
            <w:szCs w:val="22"/>
          </w:rPr>
          <w:fldChar w:fldCharType="separate"/>
        </w:r>
        <w:r>
          <w:rPr>
            <w:sz w:val="22"/>
            <w:szCs w:val="22"/>
          </w:rPr>
          <w:t>6</w:t>
        </w:r>
        <w:r>
          <w:rPr>
            <w:sz w:val="22"/>
            <w:szCs w:val="22"/>
          </w:rPr>
          <w:fldChar w:fldCharType="end"/>
        </w:r>
      </w:hyperlink>
    </w:p>
    <w:p>
      <w:pPr>
        <w:pStyle w:val="TOC2"/>
        <w:tabs>
          <w:tab w:val="right" w:leader="dot" w:pos="9060"/>
        </w:tabs>
      </w:pPr>
      <w:hyperlink w:anchor="_Toc9107" w:history="1">
        <w:r>
          <w:rPr>
            <w:sz w:val="22"/>
            <w:szCs w:val="22"/>
          </w:rPr>
          <w:t xml:space="preserve">3.4 Ripianificazione</w:t>
        </w:r>
        <w:r>
          <w:tab/>
        </w:r>
        <w:r>
          <w:rPr>
            <w:sz w:val="22"/>
            <w:szCs w:val="22"/>
          </w:rPr>
          <w:fldChar w:fldCharType="begin"/>
        </w:r>
        <w:r>
          <w:rPr>
            <w:sz w:val="22"/>
            <w:szCs w:val="22"/>
          </w:rPr>
          <w:instrText xml:space="preserve"> PAGEREF _Toc9107 \h </w:instrText>
        </w:r>
        <w:r>
          <w:rPr>
            <w:sz w:val="22"/>
            <w:szCs w:val="22"/>
          </w:rPr>
          <w:fldChar w:fldCharType="separate"/>
        </w:r>
        <w:r>
          <w:rPr>
            <w:sz w:val="22"/>
            <w:szCs w:val="22"/>
          </w:rPr>
          <w:t>7</w:t>
        </w:r>
        <w:r>
          <w:rPr>
            <w:sz w:val="22"/>
            <w:szCs w:val="22"/>
          </w:rPr>
          <w:fldChar w:fldCharType="end"/>
        </w:r>
      </w:hyperlink>
    </w:p>
    <w:p>
      <w:pPr>
        <w:pStyle w:val="TOC2"/>
        <w:tabs>
          <w:tab w:val="right" w:leader="dot" w:pos="9060"/>
        </w:tabs>
      </w:pPr>
      <w:hyperlink w:anchor="_Toc9108" w:history="1">
        <w:r>
          <w:rPr>
            <w:sz w:val="22"/>
            <w:szCs w:val="22"/>
          </w:rPr>
          <w:t xml:space="preserve">3.5 Monitoraggio e cruscotti</w:t>
        </w:r>
        <w:r>
          <w:tab/>
        </w:r>
        <w:r>
          <w:rPr>
            <w:sz w:val="22"/>
            <w:szCs w:val="22"/>
          </w:rPr>
          <w:fldChar w:fldCharType="begin"/>
        </w:r>
        <w:r>
          <w:rPr>
            <w:sz w:val="22"/>
            <w:szCs w:val="22"/>
          </w:rPr>
          <w:instrText xml:space="preserve"> PAGEREF _Toc9108 \h </w:instrText>
        </w:r>
        <w:r>
          <w:rPr>
            <w:sz w:val="22"/>
            <w:szCs w:val="22"/>
          </w:rPr>
          <w:fldChar w:fldCharType="separate"/>
        </w:r>
        <w:r>
          <w:rPr>
            <w:sz w:val="22"/>
            <w:szCs w:val="22"/>
          </w:rPr>
          <w:t>7</w:t>
        </w:r>
        <w:r>
          <w:rPr>
            <w:sz w:val="22"/>
            <w:szCs w:val="22"/>
          </w:rPr>
          <w:fldChar w:fldCharType="end"/>
        </w:r>
      </w:hyperlink>
    </w:p>
    <w:p>
      <w:pPr>
        <w:pStyle w:val="TOC2"/>
        <w:tabs>
          <w:tab w:val="right" w:leader="dot" w:pos="9060"/>
        </w:tabs>
      </w:pPr>
      <w:hyperlink w:anchor="_Toc9109" w:history="1">
        <w:r>
          <w:rPr>
            <w:sz w:val="22"/>
            <w:szCs w:val="22"/>
          </w:rPr>
          <w:t xml:space="preserve">3.6 Utenti, permessi e qualità</w:t>
        </w:r>
        <w:r>
          <w:tab/>
        </w:r>
        <w:r>
          <w:rPr>
            <w:sz w:val="22"/>
            <w:szCs w:val="22"/>
          </w:rPr>
          <w:fldChar w:fldCharType="begin"/>
        </w:r>
        <w:r>
          <w:rPr>
            <w:sz w:val="22"/>
            <w:szCs w:val="22"/>
          </w:rPr>
          <w:instrText xml:space="preserve"> PAGEREF _Toc9109 \h </w:instrText>
        </w:r>
        <w:r>
          <w:rPr>
            <w:sz w:val="22"/>
            <w:szCs w:val="22"/>
          </w:rPr>
          <w:fldChar w:fldCharType="separate"/>
        </w:r>
        <w:r>
          <w:rPr>
            <w:sz w:val="22"/>
            <w:szCs w:val="22"/>
          </w:rPr>
          <w:t>8</w:t>
        </w:r>
        <w:r>
          <w:rPr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10" w:history="1">
        <w:r>
          <w:rPr>
            <w:b/>
            <w:bCs/>
            <w:sz w:val="22"/>
            <w:szCs w:val="22"/>
          </w:rPr>
          <w:t xml:space="preserve">4. Guida all'avvio del ciclo di una commessa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_Toc9110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8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11" w:history="1">
        <w:r>
          <w:rPr>
            <w:b/>
            <w:bCs/>
            <w:sz w:val="22"/>
            <w:szCs w:val="22"/>
          </w:rPr>
          <w:t xml:space="preserve">5. Subentro in corsa: allineare la produzione già avviata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_Toc9111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9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12" w:history="1">
        <w:r>
          <w:rPr>
            <w:b/>
            <w:bCs/>
            <w:sz w:val="22"/>
            <w:szCs w:val="22"/>
          </w:rPr>
          <w:t xml:space="preserve">6. Punti aperti e decisioni richieste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_Toc9112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10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13" w:history="1">
        <w:r>
          <w:rPr>
            <w:b/>
            <w:bCs/>
            <w:sz w:val="22"/>
            <w:szCs w:val="22"/>
          </w:rPr>
          <w:t xml:space="preserve">7. Prossimi passi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_Toc9113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11</w:t>
        </w:r>
        <w:r>
          <w:rPr>
            <w:b/>
            <w:bCs/>
            <w:sz w:val="22"/>
            <w:szCs w:val="22"/>
          </w:rPr>
          <w:fldChar w:fldCharType="end"/>
        </w:r>
      </w:hyperlink>
      <w:r>
        <w:fldChar w:fldCharType="end"/>
      </w:r>
    </w:p>
    <w:p>
      <w:pPr>
        <w:spacing w:after="0"/>
      </w:pPr>
      <w:r>
        <w:br w:type="page"/>
      </w:r>
    </w:p>
    <w:p>
      <w:pPr>
        <w:pStyle w:val="Heading1"/>
      </w:pPr>
      <w:bookmarkStart w:id="9101" w:name="_Toc9101"/>
      <w:r>
        <w:rPr>
          <w:b/>
          <w:bCs/>
          <w:color w:val="757F9B"/>
          <w:sz w:val="28"/>
          <w:szCs w:val="28"/>
        </w:rPr>
        <w:t xml:space="preserve">1. Scopo del documento e situazione in sintesi</w:t>
      </w:r>
      <w:bookmarkEnd w:id="9101"/>
    </w:p>
    <w:p>
      <w:pPr/>
      <w:r>
        <w:rPr>
          <w:sz w:val="22"/>
          <w:szCs w:val="22"/>
        </w:rPr>
        <w:t xml:space="preserve">Il documento riassume, alla data del 6 ottobre 2026, quanto realizzato sul sistema </w:t>
      </w:r>
      <w:r>
        <w:rPr>
          <w:b/>
          <w:bCs/>
          <w:sz w:val="22"/>
          <w:szCs w:val="22"/>
        </w:rPr>
        <w:t xml:space="preserve">M.E.S. Remazel</w:t>
      </w:r>
      <w:r>
        <w:rPr>
          <w:sz w:val="22"/>
          <w:szCs w:val="22"/>
        </w:rPr>
        <w:t xml:space="preserve"> per la BU Combustion: lo stato dei dodici obiettivi di pianificazione e monitoraggio della produzione, le personalizzazioni introdotte su ERPNext v16, la procedura per avviare il ciclo di una commessa e quella per allineare a sistema una produzione già in corso.</w:t>
      </w:r>
    </w:p>
    <w:p>
      <w:pPr/>
      <w:r>
        <w:rPr>
          <w:sz w:val="22"/>
          <w:szCs w:val="22"/>
        </w:rPr>
        <w:t xml:space="preserve">La commessa in esercizio è la </w:t>
      </w:r>
      <w:r>
        <w:rPr>
          <w:b/>
          <w:bCs/>
          <w:sz w:val="22"/>
          <w:szCs w:val="22"/>
        </w:rPr>
        <w:t xml:space="preserve">T09-0100</w:t>
      </w:r>
      <w:r>
        <w:rPr>
          <w:sz w:val="22"/>
          <w:szCs w:val="22"/>
        </w:rPr>
        <w:t xml:space="preserve"> (Job 26-19008, 100 liner in 6 set di consegna). La </w:t>
      </w:r>
      <w:r>
        <w:rPr>
          <w:b/>
          <w:bCs/>
          <w:sz w:val="22"/>
          <w:szCs w:val="22"/>
        </w:rPr>
        <w:t xml:space="preserve">T08-0100</w:t>
      </w:r>
      <w:r>
        <w:rPr>
          <w:sz w:val="22"/>
          <w:szCs w:val="22"/>
        </w:rPr>
        <w:t xml:space="preserve"> è temporaneamente sospesa sul sistema: i suoi codici, distinte e cicli restano la base dati comune, e la T09 utilizza il codice T08 per tutti gli articoli identici.</w:t>
      </w:r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5460"/>
      </w:tblGrid>
      <w:tr>
        <w:trPr>
          <w:cantSplit/>
          <w:tblHeader/>
        </w:trPr>
        <w:tc>
          <w:tcPr>
            <w:tcW w:w="36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Indicatore</w:t>
            </w:r>
          </w:p>
        </w:tc>
        <w:tc>
          <w:tcPr>
            <w:tcW w:w="54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Valore al 6 ottobre 2026</w:t>
            </w:r>
          </w:p>
        </w:tc>
      </w:tr>
      <w:tr>
        <w:trPr>
          <w:cantSplit/>
        </w:trPr>
        <w:tc>
          <w:tcPr>
            <w:tcW w:w="36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Set di consegna T09</w:t>
            </w:r>
          </w:p>
        </w:tc>
        <w:tc>
          <w:tcPr>
            <w:tcW w:w="54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6 set (10 / 20 / 20 / 20 / 20 / 10 liner), consegne dal 26/02/2027 al 30/11/2027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Work Order T09</w:t>
            </w:r>
          </w:p>
        </w:tc>
        <w:tc>
          <w:tcPr>
            <w:tcW w:w="54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348, tutti rilasciati (58 per set)</w:t>
            </w:r>
          </w:p>
        </w:tc>
      </w:tr>
      <w:tr>
        <w:trPr>
          <w:cantSplit/>
        </w:trPr>
        <w:tc>
          <w:tcPr>
            <w:tcW w:w="36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Job Card T09</w:t>
            </w:r>
          </w:p>
        </w:tc>
        <w:tc>
          <w:tcPr>
            <w:tcW w:w="54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3.306, di cui 768 su lavorazioni esterne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Obiettivi completati</w:t>
            </w:r>
          </w:p>
        </w:tc>
        <w:tc>
          <w:tcPr>
            <w:tcW w:w="54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6 su 12 (1a, 1b, 1c, 1d, 1f, 1g)</w:t>
            </w:r>
          </w:p>
        </w:tc>
      </w:tr>
      <w:tr>
        <w:trPr>
          <w:cantSplit/>
        </w:trPr>
        <w:tc>
          <w:tcPr>
            <w:tcW w:w="36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Obiettivi in corso</w:t>
            </w:r>
          </w:p>
        </w:tc>
        <w:tc>
          <w:tcPr>
            <w:tcW w:w="54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4 (2a, 2b, 2d, 3); 1 da avviare (2c); 1 riformulato (1e)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Ore di lavorazione esterna per set da 10 liner</w:t>
            </w:r>
          </w:p>
        </w:tc>
        <w:tc>
          <w:tcPr>
            <w:tcW w:w="54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circa 21.400 ore di attraversamento presso fornitori, contro un lavoro interno nell'ordine delle 1.300 ore</w:t>
            </w:r>
          </w:p>
        </w:tc>
      </w:tr>
    </w:tbl>
    <w:p>
      <w:pPr>
        <w:spacing w:after="0"/>
        <w:rPr>
          <w:sz w:val="8"/>
          <w:szCs w:val="8"/>
        </w:rPr>
      </w:pPr>
    </w:p>
    <w:tbl>
      <w:tblPr>
        <w:tblW w:w="9060" w:type="dxa"/>
        <w:tblBorders>
          <w:top w:val="single" w:sz="8" w:space="0" w:color="757F9B"/>
          <w:left w:val="single" w:sz="8" w:space="0" w:color="757F9B"/>
          <w:bottom w:val="single" w:sz="8" w:space="0" w:color="757F9B"/>
          <w:right w:val="single" w:sz="8" w:space="0" w:color="757F9B"/>
          <w:insideH w:val="single" w:sz="8" w:space="0" w:color="757F9B"/>
          <w:insideV w:val="single" w:sz="8" w:space="0" w:color="757F9B"/>
        </w:tblBorders>
        <w:tblLayout w:type="fixed"/>
        <w:tblLook w:val="04A0" w:firstRow="1" w:lastRow="0" w:firstColumn="1" w:lastColumn="0" w:noHBand="0" w:noVBand="1"/>
      </w:tblPr>
      <w:tblGrid>
        <w:gridCol w:w="9060"/>
      </w:tblGrid>
      <w:tr>
        <w:trPr>
          <w:cantSplit/>
        </w:trPr>
        <w:tc>
          <w:tcPr>
            <w:tcW w:w="906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Esito della pianificazione dei set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Con la capacità reale dei reparti e i lead time dei fornitori, i </w:t>
            </w:r>
            <w:r>
              <w:rPr>
                <w:b/>
                <w:bCs/>
                <w:sz w:val="20"/>
                <w:szCs w:val="20"/>
              </w:rPr>
              <w:t xml:space="preserve">set 3-6</w:t>
            </w:r>
            <w:r>
              <w:rPr>
                <w:sz w:val="20"/>
                <w:szCs w:val="20"/>
              </w:rPr>
              <w:t xml:space="preserve"> risultano pianificati in anticipo di 7-11 giorni sulla data di consegna. I </w:t>
            </w:r>
            <w:r>
              <w:rPr>
                <w:b/>
                <w:bCs/>
                <w:sz w:val="20"/>
                <w:szCs w:val="20"/>
              </w:rPr>
              <w:t xml:space="preserve">set 1 e 2</w:t>
            </w:r>
            <w:r>
              <w:rPr>
                <w:sz w:val="20"/>
                <w:szCs w:val="20"/>
              </w:rPr>
              <w:t xml:space="preserve"> risultano in ritardo di 28 e 39 giorni.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Il ritardo dei set 1 e 2 è </w:t>
            </w:r>
            <w:r>
              <w:rPr>
                <w:b/>
                <w:bCs/>
                <w:sz w:val="20"/>
                <w:szCs w:val="20"/>
              </w:rPr>
              <w:t xml:space="preserve">indicativo</w:t>
            </w:r>
            <w:r>
              <w:rPr>
                <w:sz w:val="20"/>
                <w:szCs w:val="20"/>
              </w:rPr>
              <w:t xml:space="preserve">: i due set sono in produzione da maggio e il sistema li ha pianificati come se partissero oggi. Il dato si correggerà con l'allineamento dell'avanzamento reale (capitolo 5).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1"/>
      </w:pPr>
      <w:bookmarkStart w:id="9102" w:name="_Toc9102"/>
      <w:r>
        <w:rPr>
          <w:b/>
          <w:bCs/>
          <w:color w:val="757F9B"/>
          <w:sz w:val="28"/>
          <w:szCs w:val="28"/>
        </w:rPr>
        <w:t xml:space="preserve">2. Stato dei 12 obiettivi</w:t>
      </w:r>
      <w:bookmarkEnd w:id="9102"/>
    </w:p>
    <w:p>
      <w:pPr/>
      <w:r>
        <w:rPr>
          <w:sz w:val="22"/>
          <w:szCs w:val="22"/>
        </w:rPr>
        <w:t xml:space="preserve">La tabella riprende gli obiettivi trasmessi dalla BU Combustion con la priorità assegnata e lo stato aggiornato. Il dettaglio di ciascun obiettivo è nel documento Analisi_Obiettivi_BU_Combustion (prossima revisione B4).</w:t>
      </w:r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900"/>
        <w:gridCol w:w="2700"/>
        <w:gridCol w:w="1200"/>
        <w:gridCol w:w="3560"/>
      </w:tblGrid>
      <w:tr>
        <w:trPr>
          <w:cantSplit/>
          <w:tblHeader/>
        </w:trPr>
        <w:tc>
          <w:tcPr>
            <w:tcW w:w="7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Ob.</w:t>
            </w:r>
          </w:p>
        </w:tc>
        <w:tc>
          <w:tcPr>
            <w:tcW w:w="9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Priorità</w:t>
            </w:r>
          </w:p>
        </w:tc>
        <w:tc>
          <w:tcPr>
            <w:tcW w:w="27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Richiesta</w:t>
            </w:r>
          </w:p>
        </w:tc>
        <w:tc>
          <w:tcPr>
            <w:tcW w:w="12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Stato</w:t>
            </w:r>
          </w:p>
        </w:tc>
        <w:tc>
          <w:tcPr>
            <w:tcW w:w="35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Cosa c'è a sistema / cosa manca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1a</w:t>
            </w:r>
          </w:p>
        </w:tc>
        <w:tc>
          <w:tcPr>
            <w:tcW w:w="9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Alta</w:t>
            </w:r>
          </w:p>
        </w:tc>
        <w:tc>
          <w:tcPr>
            <w:tcW w:w="27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Master Plan di BU nel tempo con saturazione</w:t>
            </w:r>
          </w:p>
        </w:tc>
        <w:tc>
          <w:tcPr>
            <w:tcW w:w="12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Completato</w:t>
            </w:r>
          </w:p>
        </w:tc>
        <w:tc>
          <w:tcPr>
            <w:tcW w:w="35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Workspace pubblico «Produzione Remazel» con Gantt di tutte le commesse, Gantt Work Order T09 e report di carico reparti su tutte le commesse aperte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1b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Alta</w:t>
            </w:r>
          </w:p>
        </w:tc>
        <w:tc>
          <w:tcPr>
            <w:tcW w:w="27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Punti di monitoraggio per prodotto</w:t>
            </w:r>
          </w:p>
        </w:tc>
        <w:tc>
          <w:tcPr>
            <w:tcW w:w="12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Completato</w:t>
            </w:r>
          </w:p>
        </w:tc>
        <w:tc>
          <w:tcPr>
            <w:tcW w:w="35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42 punti di monitoraggio T09 (per ogni set: gruppo + 6 macro-assiemi con dipendenze), ogni Work Order collegato al proprio punto; struttura generata dall'albero di distinta, riusabile per famiglia di prodotto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2a</w:t>
            </w:r>
          </w:p>
        </w:tc>
        <w:tc>
          <w:tcPr>
            <w:tcW w:w="9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Alta</w:t>
            </w:r>
          </w:p>
        </w:tc>
        <w:tc>
          <w:tcPr>
            <w:tcW w:w="27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Modifica agile di cicli e fasi</w:t>
            </w:r>
          </w:p>
        </w:tc>
        <w:tc>
          <w:tcPr>
            <w:tcW w:w="12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In corso</w:t>
            </w:r>
          </w:p>
        </w:tc>
        <w:tc>
          <w:tcPr>
            <w:tcW w:w="35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Cicli T08 e T09 completi con tempi reali. Manca la procedura di import/confronto del ciclo da Excel eseguibile dall'utente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2b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Alta</w:t>
            </w:r>
          </w:p>
        </w:tc>
        <w:tc>
          <w:tcPr>
            <w:tcW w:w="27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Schede di lavoro con documenti</w:t>
            </w:r>
          </w:p>
        </w:tc>
        <w:tc>
          <w:tcPr>
            <w:tcW w:w="12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In corso</w:t>
            </w:r>
          </w:p>
        </w:tc>
        <w:tc>
          <w:tcPr>
            <w:tcW w:w="35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Documenti associati alla fase di distinta e propagati in automatico alla Job Card. Mancano i documenti reali e la stampa della scheda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1c</w:t>
            </w:r>
          </w:p>
        </w:tc>
        <w:tc>
          <w:tcPr>
            <w:tcW w:w="9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Media</w:t>
            </w:r>
          </w:p>
        </w:tc>
        <w:tc>
          <w:tcPr>
            <w:tcW w:w="27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Ripianificazione rapida</w:t>
            </w:r>
          </w:p>
        </w:tc>
        <w:tc>
          <w:tcPr>
            <w:tcW w:w="12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Completato</w:t>
            </w:r>
          </w:p>
        </w:tc>
        <w:tc>
          <w:tcPr>
            <w:tcW w:w="35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Simulazione e applicazione del ritardo con propagazione ai Work Order padre e confronto con la consegna del set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1d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Media</w:t>
            </w:r>
          </w:p>
        </w:tc>
        <w:tc>
          <w:tcPr>
            <w:tcW w:w="27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Evidenza dei sovraccarichi</w:t>
            </w:r>
          </w:p>
        </w:tc>
        <w:tc>
          <w:tcPr>
            <w:tcW w:w="12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Completato</w:t>
            </w:r>
          </w:p>
        </w:tc>
        <w:tc>
          <w:tcPr>
            <w:tcW w:w="35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Report «Carico Reparti Settimanale» con saturazione per reparto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2c</w:t>
            </w:r>
          </w:p>
        </w:tc>
        <w:tc>
          <w:tcPr>
            <w:tcW w:w="9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Media</w:t>
            </w:r>
          </w:p>
        </w:tc>
        <w:tc>
          <w:tcPr>
            <w:tcW w:w="27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Timbratura fasi con codice a barre</w:t>
            </w:r>
          </w:p>
        </w:tc>
        <w:tc>
          <w:tcPr>
            <w:tcW w:w="12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 avviare</w:t>
            </w:r>
          </w:p>
        </w:tc>
        <w:tc>
          <w:tcPr>
            <w:tcW w:w="35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Base disponibile: tempi su Job Card, 21 operatori con accesso filtrato per reparto. Mancano codice a barre, postazione di reparto e regole dei casi anomali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Media</w:t>
            </w:r>
          </w:p>
        </w:tc>
        <w:tc>
          <w:tcPr>
            <w:tcW w:w="27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Expediting lavorazioni esterne</w:t>
            </w:r>
          </w:p>
        </w:tc>
        <w:tc>
          <w:tcPr>
            <w:tcW w:w="12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In corso</w:t>
            </w:r>
          </w:p>
        </w:tc>
        <w:tc>
          <w:tcPr>
            <w:tcW w:w="35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Fornitore, n° ordine SAP, data promessa, uscita e rientro sulla Job Card. Manca l'Ordine conto lavoro con il collegamento a SAP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1e</w:t>
            </w:r>
          </w:p>
        </w:tc>
        <w:tc>
          <w:tcPr>
            <w:tcW w:w="9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Bassa</w:t>
            </w:r>
          </w:p>
        </w:tc>
        <w:tc>
          <w:tcPr>
            <w:tcW w:w="27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Proposte alternative di pianificazione</w:t>
            </w:r>
          </w:p>
        </w:tc>
        <w:tc>
          <w:tcPr>
            <w:tcW w:w="12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Riformulato</w:t>
            </w:r>
          </w:p>
        </w:tc>
        <w:tc>
          <w:tcPr>
            <w:tcW w:w="35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Coperto dalla simulazione del ritardo (1c) e dal report di carico (1d); un motore APS resta una valutazione successiva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1f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Bassa</w:t>
            </w:r>
          </w:p>
        </w:tc>
        <w:tc>
          <w:tcPr>
            <w:tcW w:w="27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Dashboard e KPI</w:t>
            </w:r>
          </w:p>
        </w:tc>
        <w:tc>
          <w:tcPr>
            <w:tcW w:w="12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Completato</w:t>
            </w:r>
          </w:p>
        </w:tc>
        <w:tc>
          <w:tcPr>
            <w:tcW w:w="35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Indicatori e grafici per T08 e T09 nel Workspace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1g</w:t>
            </w:r>
          </w:p>
        </w:tc>
        <w:tc>
          <w:tcPr>
            <w:tcW w:w="9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Bassa</w:t>
            </w:r>
          </w:p>
        </w:tc>
        <w:tc>
          <w:tcPr>
            <w:tcW w:w="27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Buffer per prodotto</w:t>
            </w:r>
          </w:p>
        </w:tc>
        <w:tc>
          <w:tcPr>
            <w:tcW w:w="12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Completato</w:t>
            </w:r>
          </w:p>
        </w:tc>
        <w:tc>
          <w:tcPr>
            <w:tcW w:w="35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Buffer in giorni sul singolo Project con ricalcolo automatico della scadenza interna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2d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Bassa</w:t>
            </w:r>
          </w:p>
        </w:tc>
        <w:tc>
          <w:tcPr>
            <w:tcW w:w="27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Lotti e numeri di serie</w:t>
            </w:r>
          </w:p>
        </w:tc>
        <w:tc>
          <w:tcPr>
            <w:tcW w:w="12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In corso</w:t>
            </w:r>
          </w:p>
        </w:tc>
        <w:tc>
          <w:tcPr>
            <w:tcW w:w="35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Matricola e marcatura sul prodotto finito, assegnate a fine produzione. Aperta la tracciabilità del lotto materiale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1"/>
      </w:pPr>
      <w:bookmarkStart w:id="9103" w:name="_Toc9103"/>
      <w:r>
        <w:rPr>
          <w:b/>
          <w:bCs/>
          <w:color w:val="757F9B"/>
          <w:sz w:val="28"/>
          <w:szCs w:val="28"/>
        </w:rPr>
        <w:t xml:space="preserve">3. Personalizzazioni a sistema</w:t>
      </w:r>
      <w:bookmarkEnd w:id="9103"/>
    </w:p>
    <w:p>
      <w:pPr/>
      <w:r>
        <w:rPr>
          <w:sz w:val="22"/>
          <w:szCs w:val="22"/>
        </w:rPr>
        <w:t xml:space="preserve">Tutte le personalizzazioni sono realizzate con strumenti nativi di ERPNext (campi aggiuntivi, script lato server e lato client, report, spazi di lavoro), senza modifiche al codice dell'applicazione: restano compatibili con gli aggiornamenti di versione, come verificato con l'aggiornamento a ERPNext 16.37 del 2 ottobre 2026.</w:t>
      </w:r>
    </w:p>
    <w:p>
      <w:pPr>
        <w:pStyle w:val="Heading2"/>
      </w:pPr>
      <w:bookmarkStart w:id="9104" w:name="_Toc9104"/>
      <w:r>
        <w:rPr>
          <w:b/>
          <w:bCs/>
          <w:color w:val="757F9B"/>
          <w:sz w:val="24"/>
          <w:szCs w:val="24"/>
        </w:rPr>
        <w:t xml:space="preserve">3.1 Pianificazione, capacità e calendari</w:t>
      </w:r>
      <w:bookmarkEnd w:id="9104"/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1500"/>
        <w:gridCol w:w="4960"/>
      </w:tblGrid>
      <w:tr>
        <w:trPr>
          <w:cantSplit/>
          <w:tblHeader/>
        </w:trPr>
        <w:tc>
          <w:tcPr>
            <w:tcW w:w="26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w="15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Dove</w:t>
            </w:r>
          </w:p>
        </w:tc>
        <w:tc>
          <w:tcPr>
            <w:tcW w:w="49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Funzione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Capacità reparti</w:t>
            </w:r>
          </w:p>
        </w:tc>
        <w:tc>
          <w:tcPr>
            <w:tcW w:w="15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Workstation</w:t>
            </w:r>
          </w:p>
        </w:tc>
        <w:tc>
          <w:tcPr>
            <w:tcW w:w="49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Saldatura 7, Molatura 5, Montaggio 5, Controllo Qualità 3, Lavorazioni Meccaniche 1 postazioni; Lavorazione Esterna 50 (fornitori in parallelo)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Calendario Remazel 2026-2029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Holiday List</w:t>
            </w:r>
          </w:p>
        </w:tc>
        <w:tc>
          <w:tcPr>
            <w:tcW w:w="49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Sabati, domeniche, festività e chiusure aziendali; orario reparti 07-17. Assegnato ai cinque reparti interni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Calendario Fornitori 2026-2029</w:t>
            </w:r>
          </w:p>
        </w:tc>
        <w:tc>
          <w:tcPr>
            <w:tcW w:w="15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Holiday List</w:t>
            </w:r>
          </w:p>
        </w:tc>
        <w:tc>
          <w:tcPr>
            <w:tcW w:w="49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Festività e chiusure aziendali senza i fine settimana; assegnato alla Lavorazione Esterna (i fornitori chiudono negli stessi periodi di Remazel)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Tempi delle fasi esterne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Distinta (BOM Operation)</w:t>
            </w:r>
          </w:p>
        </w:tc>
        <w:tc>
          <w:tcPr>
            <w:tcW w:w="49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Durata = tempo di attraversamento del lotto (TT) dal ciclo dell'Ufficio Tecnico, comprensivo di spedizione; tempo fisso per lotto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Capacity planning</w:t>
            </w:r>
          </w:p>
        </w:tc>
        <w:tc>
          <w:tcPr>
            <w:tcW w:w="15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Impostazioni produzione</w:t>
            </w:r>
          </w:p>
        </w:tc>
        <w:tc>
          <w:tcPr>
            <w:tcW w:w="49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Attivo su 365 giorni: al rilascio del Work Order le Job Card vengono pianificate sulla capacità reale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Buffer Project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Project, sezione Timeline</w:t>
            </w:r>
          </w:p>
        </w:tc>
        <w:tc>
          <w:tcPr>
            <w:tcW w:w="49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Giorni di margine prima della consegna (default 5), modificabili per singolo Project; la scadenza interna si ricalcola a ogni salvataggio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2"/>
      </w:pPr>
      <w:bookmarkStart w:id="9105" w:name="_Toc9105"/>
      <w:r>
        <w:rPr>
          <w:b/>
          <w:bCs/>
          <w:color w:val="757F9B"/>
          <w:sz w:val="24"/>
          <w:szCs w:val="24"/>
        </w:rPr>
        <w:t xml:space="preserve">3.2 Work Order e Job Card</w:t>
      </w:r>
      <w:bookmarkEnd w:id="9105"/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1500"/>
        <w:gridCol w:w="4660"/>
      </w:tblGrid>
      <w:tr>
        <w:trPr>
          <w:cantSplit/>
          <w:tblHeader/>
        </w:trPr>
        <w:tc>
          <w:tcPr>
            <w:tcW w:w="29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w="15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w="46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Funzione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Consegna set / Production Plan</w:t>
            </w:r>
          </w:p>
        </w:tc>
        <w:tc>
          <w:tcPr>
            <w:tcW w:w="15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Campi su Job Card</w:t>
            </w:r>
          </w:p>
        </w:tc>
        <w:tc>
          <w:tcPr>
            <w:tcW w:w="46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Ogni scheda di lavoro riporta la data di consegna e il set a cui appartiene: distingue lavorazioni uguali di set diversi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Punto di monitoraggio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Campo su Work Order</w:t>
            </w:r>
          </w:p>
        </w:tc>
        <w:tc>
          <w:tcPr>
            <w:tcW w:w="46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Collega il Work Order al punto di monitoraggio (Task) del proprio set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Descrizione fase</w:t>
            </w:r>
          </w:p>
        </w:tc>
        <w:tc>
          <w:tcPr>
            <w:tcW w:w="15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Campo su Job Card</w:t>
            </w:r>
          </w:p>
        </w:tc>
        <w:tc>
          <w:tcPr>
            <w:tcW w:w="46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Descrizione leggibile della fase con il codice dell'Ufficio Tecnico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WorkOrder_Consegna_Set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Script (creazione WO)</w:t>
            </w:r>
          </w:p>
        </w:tc>
        <w:tc>
          <w:tcPr>
            <w:tcW w:w="46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Copia la data di consegna della riga d'ordine sul Work Order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WO Default WIP Warehouse</w:t>
            </w:r>
          </w:p>
        </w:tc>
        <w:tc>
          <w:tcPr>
            <w:tcW w:w="15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Script (rilascio WO)</w:t>
            </w:r>
          </w:p>
        </w:tc>
        <w:tc>
          <w:tcPr>
            <w:tcW w:w="46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Imposta il magazzino di lavorazione se mancante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WO_Project_Fallback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Script (creazione WO)</w:t>
            </w:r>
          </w:p>
        </w:tc>
        <w:tc>
          <w:tcPr>
            <w:tcW w:w="46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Garantisce il collegamento del Work Order al Project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JobCard_Descrizione_Fase / Documenti_Tecnici</w:t>
            </w:r>
          </w:p>
        </w:tc>
        <w:tc>
          <w:tcPr>
            <w:tcW w:w="15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Script (creazione JC)</w:t>
            </w:r>
          </w:p>
        </w:tc>
        <w:tc>
          <w:tcPr>
            <w:tcW w:w="46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Riportano sulla Job Card descrizione e documenti della fase di distinta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JobCard_Avviso_Precedenze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Script (salvataggio JC)</w:t>
            </w:r>
          </w:p>
        </w:tc>
        <w:tc>
          <w:tcPr>
            <w:tcW w:w="46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Avvisa se si avvia una fase prima della precedente (avviso, non blocco)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2"/>
      </w:pPr>
      <w:bookmarkStart w:id="9106" w:name="_Toc9106"/>
      <w:r>
        <w:rPr>
          <w:b/>
          <w:bCs/>
          <w:color w:val="757F9B"/>
          <w:sz w:val="24"/>
          <w:szCs w:val="24"/>
        </w:rPr>
        <w:t xml:space="preserve">3.3 Lavorazioni esterne (expediting)</w:t>
      </w:r>
      <w:bookmarkEnd w:id="9106"/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1500"/>
        <w:gridCol w:w="4660"/>
      </w:tblGrid>
      <w:tr>
        <w:trPr>
          <w:cantSplit/>
          <w:tblHeader/>
        </w:trPr>
        <w:tc>
          <w:tcPr>
            <w:tcW w:w="29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w="15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w="46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Funzione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Fornitore</w:t>
            </w:r>
          </w:p>
        </w:tc>
        <w:tc>
          <w:tcPr>
            <w:tcW w:w="15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Campo su fase di distinta e Job Card</w:t>
            </w:r>
          </w:p>
        </w:tc>
        <w:tc>
          <w:tcPr>
            <w:tcW w:w="46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Fornitore strutturato su ciascuna delle 165 fasi esterne, copiato in automatico sulla Job Card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Sezione «Conto lavoro»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Campi su Job Card</w:t>
            </w:r>
          </w:p>
        </w:tc>
        <w:tc>
          <w:tcPr>
            <w:tcW w:w="46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N° ordine SAP, data promessa dal fornitore, uscita, rientro previsto, rientro effettivo, stato (Da inviare / Presso fornitore / Rientrato)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JobCard_Fornitore</w:t>
            </w:r>
          </w:p>
        </w:tc>
        <w:tc>
          <w:tcPr>
            <w:tcW w:w="15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Script (creazione JC)</w:t>
            </w:r>
          </w:p>
        </w:tc>
        <w:tc>
          <w:tcPr>
            <w:tcW w:w="46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Imposta fornitore e stato iniziale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JobCard_Conto_Lavoro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Script (salvataggio JC)</w:t>
            </w:r>
          </w:p>
        </w:tc>
        <w:tc>
          <w:tcPr>
            <w:tcW w:w="46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Calcola rientro previsto (data promessa, altrimenti uscita + tempo del lotto) e stato</w:t>
            </w:r>
          </w:p>
        </w:tc>
      </w:tr>
    </w:tbl>
    <w:p>
      <w:pPr>
        <w:spacing w:after="0"/>
        <w:rPr>
          <w:sz w:val="8"/>
          <w:szCs w:val="8"/>
        </w:rPr>
      </w:pPr>
    </w:p>
    <w:tbl>
      <w:tblPr>
        <w:tblW w:w="9060" w:type="dxa"/>
        <w:tblBorders>
          <w:top w:val="single" w:sz="8" w:space="0" w:color="E0A800"/>
          <w:left w:val="single" w:sz="8" w:space="0" w:color="E0A800"/>
          <w:bottom w:val="single" w:sz="8" w:space="0" w:color="E0A800"/>
          <w:right w:val="single" w:sz="8" w:space="0" w:color="E0A800"/>
          <w:insideH w:val="single" w:sz="8" w:space="0" w:color="E0A800"/>
          <w:insideV w:val="single" w:sz="8" w:space="0" w:color="E0A800"/>
        </w:tblBorders>
        <w:tblLayout w:type="fixed"/>
        <w:tblLook w:val="04A0" w:firstRow="1" w:lastRow="0" w:firstColumn="1" w:lastColumn="0" w:noHBand="0" w:noVBand="1"/>
      </w:tblPr>
      <w:tblGrid>
        <w:gridCol w:w="9060"/>
      </w:tblGrid>
      <w:tr>
        <w:trPr>
          <w:cantSplit/>
        </w:trPr>
        <w:tc>
          <w:tcPr>
            <w:tcW w:w="9060" w:type="dxa"/>
            <w:shd w:val="clear" w:color="auto" w:fill="FFF8E1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Evoluzione decisa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Per le lavorazioni esterne non si registra l'avvio sulla singola Job Card: sarà introdotto l'</w:t>
            </w:r>
            <w:r>
              <w:rPr>
                <w:b/>
                <w:bCs/>
                <w:sz w:val="20"/>
                <w:szCs w:val="20"/>
              </w:rPr>
              <w:t xml:space="preserve">Ordine conto lavoro</w:t>
            </w:r>
            <w:r>
              <w:rPr>
                <w:sz w:val="20"/>
                <w:szCs w:val="20"/>
              </w:rPr>
              <w:t xml:space="preserve">, che raggruppa le fasi inviate allo stesso fornitore e registra spedizione e rientro con un'unica azione.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Le giacenze presso i fornitori restano gestite in SAP; il sistema le leggerà tramite un collegamento in sola lettura.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2"/>
      </w:pPr>
      <w:bookmarkStart w:id="9107" w:name="_Toc9107"/>
      <w:r>
        <w:rPr>
          <w:b/>
          <w:bCs/>
          <w:color w:val="757F9B"/>
          <w:sz w:val="24"/>
          <w:szCs w:val="24"/>
        </w:rPr>
        <w:t xml:space="preserve">3.4 Ripianificazione</w:t>
      </w:r>
      <w:bookmarkEnd w:id="9107"/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1500"/>
        <w:gridCol w:w="4660"/>
      </w:tblGrid>
      <w:tr>
        <w:trPr>
          <w:cantSplit/>
          <w:tblHeader/>
        </w:trPr>
        <w:tc>
          <w:tcPr>
            <w:tcW w:w="29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w="15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w="46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Funzione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Simula Ritardo</w:t>
            </w:r>
          </w:p>
        </w:tc>
        <w:tc>
          <w:tcPr>
            <w:tcW w:w="15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Funzione + pulsante su Job Card</w:t>
            </w:r>
          </w:p>
        </w:tc>
        <w:tc>
          <w:tcPr>
            <w:tcW w:w="46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Calcola l'effetto di una nuova data di fine fase su fasi successive e Work Order padre fino al prodotto finito, senza scrivere nulla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Applica Ritardo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Funzione + pulsante su Job Card</w:t>
            </w:r>
          </w:p>
        </w:tc>
        <w:tc>
          <w:tcPr>
            <w:tcW w:w="46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Applica lo spostamento calcolato; segnala se il set sfora il buffer o la data di consegna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Pulsanti</w:t>
            </w:r>
          </w:p>
        </w:tc>
        <w:tc>
          <w:tcPr>
            <w:tcW w:w="15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Menu «Pianificazione» della Job Card</w:t>
            </w:r>
          </w:p>
        </w:tc>
        <w:tc>
          <w:tcPr>
            <w:tcW w:w="46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Disponibili su ogni scheda di lavoro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2"/>
      </w:pPr>
      <w:bookmarkStart w:id="9108" w:name="_Toc9108"/>
      <w:r>
        <w:rPr>
          <w:b/>
          <w:bCs/>
          <w:color w:val="757F9B"/>
          <w:sz w:val="24"/>
          <w:szCs w:val="24"/>
        </w:rPr>
        <w:t xml:space="preserve">3.5 Monitoraggio e cruscotti</w:t>
      </w:r>
      <w:bookmarkEnd w:id="9108"/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1500"/>
        <w:gridCol w:w="4660"/>
      </w:tblGrid>
      <w:tr>
        <w:trPr>
          <w:cantSplit/>
          <w:tblHeader/>
        </w:trPr>
        <w:tc>
          <w:tcPr>
            <w:tcW w:w="29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w="15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w="46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Funzione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Produzione Remazel</w:t>
            </w:r>
          </w:p>
        </w:tc>
        <w:tc>
          <w:tcPr>
            <w:tcW w:w="15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Spazio di lavoro pubblico</w:t>
            </w:r>
          </w:p>
        </w:tc>
        <w:tc>
          <w:tcPr>
            <w:tcW w:w="46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Master Plan, indicatori e grafici T09 e T08, accessi rapidi; menu laterale dedicato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Master Plan commesse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Vista Gantt dei Project</w:t>
            </w:r>
          </w:p>
        </w:tc>
        <w:tc>
          <w:tcPr>
            <w:tcW w:w="46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Tutte le commesse nel tempo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Gantt Work Order / monitoraggio T09</w:t>
            </w:r>
          </w:p>
        </w:tc>
        <w:tc>
          <w:tcPr>
            <w:tcW w:w="15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Viste Gantt</w:t>
            </w:r>
          </w:p>
        </w:tc>
        <w:tc>
          <w:tcPr>
            <w:tcW w:w="46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Dettaglio per Work Order e per punto di monitoraggio, per set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Carico Reparti Settimanale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Report</w:t>
            </w:r>
          </w:p>
        </w:tc>
        <w:tc>
          <w:tcPr>
            <w:tcW w:w="46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Minuti pianificati contro capacità per reparto e settimana, con evidenza dei sovraccarichi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Indicatori e grafici</w:t>
            </w:r>
          </w:p>
        </w:tc>
        <w:tc>
          <w:tcPr>
            <w:tcW w:w="15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Number Card / Dashboard Chart</w:t>
            </w:r>
          </w:p>
        </w:tc>
        <w:tc>
          <w:tcPr>
            <w:tcW w:w="46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Ordini, pezzi prodotti, Job Card aperte, avvio ordini per settimana, ordini per stato (T08 e T09)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2"/>
      </w:pPr>
      <w:bookmarkStart w:id="9109" w:name="_Toc9109"/>
      <w:r>
        <w:rPr>
          <w:b/>
          <w:bCs/>
          <w:color w:val="757F9B"/>
          <w:sz w:val="24"/>
          <w:szCs w:val="24"/>
        </w:rPr>
        <w:t xml:space="preserve">3.6 Utenti, permessi e qualità</w:t>
      </w:r>
      <w:bookmarkEnd w:id="9109"/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1500"/>
        <w:gridCol w:w="4660"/>
      </w:tblGrid>
      <w:tr>
        <w:trPr>
          <w:cantSplit/>
          <w:tblHeader/>
        </w:trPr>
        <w:tc>
          <w:tcPr>
            <w:tcW w:w="29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w="15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w="46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Funzione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Operatori di reparto</w:t>
            </w:r>
          </w:p>
        </w:tc>
        <w:tc>
          <w:tcPr>
            <w:tcW w:w="15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21 utenti</w:t>
            </w:r>
          </w:p>
        </w:tc>
        <w:tc>
          <w:tcPr>
            <w:tcW w:w="46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Ruolo «Operatore di Reparto»: ogni operatore vede solo le Job Card del proprio reparto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Responsabile Processo MES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Profilo</w:t>
            </w:r>
          </w:p>
        </w:tc>
        <w:tc>
          <w:tcPr>
            <w:tcW w:w="46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Governo del processo produttivo (pianificazione, Work Order, Job Card) senza diritti di amministrazione del sistema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Matricola reale</w:t>
            </w:r>
          </w:p>
        </w:tc>
        <w:tc>
          <w:tcPr>
            <w:tcW w:w="15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Campo su Serial No</w:t>
            </w:r>
          </w:p>
        </w:tc>
        <w:tc>
          <w:tcPr>
            <w:tcW w:w="46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Matricola definitiva del prodotto finito, senza rinominare il documento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Operazione Documento Tecnico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Tabella dati</w:t>
            </w:r>
          </w:p>
        </w:tc>
        <w:tc>
          <w:tcPr>
            <w:tcW w:w="46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Documenti (disegni, WPS, controlli) per fase di distinta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Template controllo saldature</w:t>
            </w:r>
          </w:p>
        </w:tc>
        <w:tc>
          <w:tcPr>
            <w:tcW w:w="15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Quality Inspection Template</w:t>
            </w:r>
          </w:p>
        </w:tc>
        <w:tc>
          <w:tcPr>
            <w:tcW w:w="46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40 parametri, da validare e agganciare al prodotto finito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1"/>
      </w:pPr>
      <w:bookmarkStart w:id="9110" w:name="_Toc9110"/>
      <w:r>
        <w:rPr>
          <w:b/>
          <w:bCs/>
          <w:color w:val="757F9B"/>
          <w:sz w:val="28"/>
          <w:szCs w:val="28"/>
        </w:rPr>
        <w:t xml:space="preserve">4. Guida all'avvio del ciclo di una commessa</w:t>
      </w:r>
      <w:bookmarkEnd w:id="9110"/>
    </w:p>
    <w:p>
      <w:pPr/>
      <w:r>
        <w:rPr>
          <w:sz w:val="22"/>
          <w:szCs w:val="22"/>
        </w:rPr>
        <w:t xml:space="preserve">La sequenza vale per ogni nuova commessa della BU. I passi 3-6 sono oggi eseguiti da Start I.T. con procedure dedicate; l'obiettivo è renderli eseguibili dalla Pianificazione di produzione da interfaccia.</w:t>
      </w:r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2400"/>
        <w:gridCol w:w="6060"/>
      </w:tblGrid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Ordine cliente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Sales Order con una riga per ogni set di consegna (quantità e data).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Nel campo ordine cliente si indica il numero di Job.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Commessa (Project)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Project con date di inizio e fine e Buffer Project (default 5 giorni).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La scadenza interna si calcola da sola.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Piano di produzione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Un Production Plan per set, con il calcolo dei sotto-assiemi dalla distinta.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Ogni set diventa un lotto di produzione autonomo.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Work Order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Creazione dei Work Order in bozza dal piano: uno per ogni assieme e sotto-assieme.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Data di consegna del set e punto di monitoraggio collegati in automatico.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5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Pianificazione a ritroso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Fine set = consegna − buffer; ogni sotto-assieme termina prima dell'inizio del padre.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Se una data cade nel passato, il Work Order parte da oggi e il set viene segnalato in ritardo.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6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Rilascio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Rilascio dei Work Order: il sistema crea e pianifica le Job Card sulla capacità reale dei reparti e sul calendario dei fornitori.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7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Reparto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Gli operatori aprono la propria Job Card, avviano e chiudono la fase con la quantità prodotta.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I tempi effettivi si registrano in automatico.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8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Lavorazioni esterne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Fornitore già indicato; si registrano n° ordine SAP, eventuale data promessa, spedizione e rientro.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Il rientro previsto e lo stato si aggiornano da soli.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9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Ritardi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 una Job Card: Pianificazione → Simula Ritardo per valutare l'effetto sulla consegna, poi Applica Ritardo.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10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Monitoraggio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Spazio di lavoro «Produzione Remazel»: Master Plan, Gantt del set, carico reparti, indicatori.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1"/>
      </w:pPr>
      <w:bookmarkStart w:id="9111" w:name="_Toc9111"/>
      <w:r>
        <w:rPr>
          <w:b/>
          <w:bCs/>
          <w:color w:val="757F9B"/>
          <w:sz w:val="28"/>
          <w:szCs w:val="28"/>
        </w:rPr>
        <w:t xml:space="preserve">5. Subentro in corsa: allineare la produzione già avviata</w:t>
      </w:r>
      <w:bookmarkEnd w:id="9111"/>
    </w:p>
    <w:p>
      <w:pPr/>
      <w:r>
        <w:rPr>
          <w:sz w:val="22"/>
          <w:szCs w:val="22"/>
        </w:rPr>
        <w:t xml:space="preserve">I set 1 e 2 della T09 sono in produzione da maggio, mentre il sistema li ha pianificati a partire dal 2 ottobre 2026. Per ottenere date e ritardi attendibili occorre registrare quanto già eseguito. La procedura proposta evita l'inserimento manuale di centinaia di schede.</w:t>
      </w:r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2400"/>
        <w:gridCol w:w="6060"/>
      </w:tblGrid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Rilevazione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La Pianificazione di produzione compila un modulo Excel predisposto da Start I.T., con l'elenco dei Work Order del set: per ciascuno, fasi completate, fase in corso, eventuale lavorazione presso fornitore e data di uscita.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Allineamento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Start I.T. carica il modulo con una procedura dedicata: le fasi completate vengono chiuse con la quantità prodotta, i Work Order interamente eseguiti vengono completati.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Lavorazioni presso fornitori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Le fasi esterne in corso passano in stato «Presso fornitore» con la data di uscita reale e, se nota, la data promessa.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Lotto materiale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Dove disponibile si registra il numero di colata o di certificato. Il dato </w:t>
            </w:r>
            <w:r>
              <w:rPr>
                <w:b/>
                <w:bCs/>
                <w:sz w:val="20"/>
                <w:szCs w:val="20"/>
              </w:rPr>
              <w:t xml:space="preserve">non è obbligatorio</w:t>
            </w:r>
            <w:r>
              <w:rPr>
                <w:sz w:val="20"/>
                <w:szCs w:val="20"/>
              </w:rPr>
              <w:t xml:space="preserve">: può essere completato in seguito, e i Work Order senza lotto vengono solo segnalati.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5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Ripianificazione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Le fasi ancora da eseguire vengono ripianificate a partire dallo stato reale; il sistema ricalcola la data di fine di ciascun set.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6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Verifica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Confronto tra la fine prevista e la consegna di ciascun set nel Master Plan; eventuali ritardi si governano con Simula/Applica Ritardo.</w:t>
            </w:r>
          </w:p>
        </w:tc>
      </w:tr>
    </w:tbl>
    <w:p>
      <w:pPr>
        <w:spacing w:after="0"/>
        <w:rPr>
          <w:sz w:val="8"/>
          <w:szCs w:val="8"/>
        </w:rPr>
      </w:pPr>
    </w:p>
    <w:tbl>
      <w:tblPr>
        <w:tblW w:w="9060" w:type="dxa"/>
        <w:tblBorders>
          <w:top w:val="single" w:sz="8" w:space="0" w:color="E0A800"/>
          <w:left w:val="single" w:sz="8" w:space="0" w:color="E0A800"/>
          <w:bottom w:val="single" w:sz="8" w:space="0" w:color="E0A800"/>
          <w:right w:val="single" w:sz="8" w:space="0" w:color="E0A800"/>
          <w:insideH w:val="single" w:sz="8" w:space="0" w:color="E0A800"/>
          <w:insideV w:val="single" w:sz="8" w:space="0" w:color="E0A800"/>
        </w:tblBorders>
        <w:tblLayout w:type="fixed"/>
        <w:tblLook w:val="04A0" w:firstRow="1" w:lastRow="0" w:firstColumn="1" w:lastColumn="0" w:noHBand="0" w:noVBand="1"/>
      </w:tblPr>
      <w:tblGrid>
        <w:gridCol w:w="9060"/>
      </w:tblGrid>
      <w:tr>
        <w:trPr>
          <w:cantSplit/>
        </w:trPr>
        <w:tc>
          <w:tcPr>
            <w:tcW w:w="9060" w:type="dxa"/>
            <w:shd w:val="clear" w:color="auto" w:fill="FFF8E1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Vincolo di magazzino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Le giacenze sono gestite in SAP e ERPNext non movimenta il magazzino per il conto lavoro. La chiusura dei Work Order serve all'avanzamento e alla tracciabilità della produzione, non alla valorizzazione delle scorte.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1"/>
      </w:pPr>
      <w:bookmarkStart w:id="9112" w:name="_Toc9112"/>
      <w:r>
        <w:rPr>
          <w:b/>
          <w:bCs/>
          <w:color w:val="757F9B"/>
          <w:sz w:val="28"/>
          <w:szCs w:val="28"/>
        </w:rPr>
        <w:t xml:space="preserve">6. Punti aperti e decisioni richieste</w:t>
      </w:r>
      <w:bookmarkEnd w:id="9112"/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5160"/>
        <w:gridCol w:w="3100"/>
      </w:tblGrid>
      <w:tr>
        <w:trPr>
          <w:cantSplit/>
          <w:tblHeader/>
        </w:trPr>
        <w:tc>
          <w:tcPr>
            <w:tcW w:w="8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Ob.</w:t>
            </w:r>
          </w:p>
        </w:tc>
        <w:tc>
          <w:tcPr>
            <w:tcW w:w="51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Decisione o informazione richiesta</w:t>
            </w:r>
          </w:p>
        </w:tc>
        <w:tc>
          <w:tcPr>
            <w:tcW w:w="31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Funzione</w:t>
            </w:r>
          </w:p>
        </w:tc>
      </w:tr>
      <w:tr>
        <w:trPr>
          <w:cantSplit/>
        </w:trPr>
        <w:tc>
          <w:tcPr>
            <w:tcW w:w="8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2b</w:t>
            </w:r>
          </w:p>
        </w:tc>
        <w:tc>
          <w:tcPr>
            <w:tcW w:w="51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Quali documenti associare a quali fasi (disegni, WPS, criteri di controllo), chi li mantiene, come si codificano le revisioni</w:t>
            </w:r>
          </w:p>
        </w:tc>
        <w:tc>
          <w:tcPr>
            <w:tcW w:w="31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Ufficio Tecnico, Pianificazione di produzione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2c</w:t>
            </w:r>
          </w:p>
        </w:tc>
        <w:tc>
          <w:tcPr>
            <w:tcW w:w="51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Regole per i casi anomali: fase aperta a fine turno, ripresa il giorno successivo, più operatori sulla stessa fase; conferma postazioni fisse e lettori</w:t>
            </w:r>
          </w:p>
        </w:tc>
        <w:tc>
          <w:tcPr>
            <w:tcW w:w="31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Pianificazione di produzione</w:t>
            </w:r>
          </w:p>
        </w:tc>
      </w:tr>
      <w:tr>
        <w:trPr>
          <w:cantSplit/>
        </w:trPr>
        <w:tc>
          <w:tcPr>
            <w:tcW w:w="8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2d</w:t>
            </w:r>
          </w:p>
        </w:tc>
        <w:tc>
          <w:tcPr>
            <w:tcW w:w="51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Quali livelli tracciare a lotto (solo materia prima o anche semilavorati) e dove si registra oggi il numero di colata; validazione del template controllo saldature</w:t>
            </w:r>
          </w:p>
        </w:tc>
        <w:tc>
          <w:tcPr>
            <w:tcW w:w="31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Qualità, Ufficio Tecnico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1a</w:t>
            </w:r>
          </w:p>
        </w:tc>
        <w:tc>
          <w:tcPr>
            <w:tcW w:w="51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Quali altre commesse di BU caricare nel Master Plan, con quale dettaglio e in quale ordine</w:t>
            </w:r>
          </w:p>
        </w:tc>
        <w:tc>
          <w:tcPr>
            <w:tcW w:w="31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Direzione BU, Pianificazione di produzione</w:t>
            </w:r>
          </w:p>
        </w:tc>
      </w:tr>
      <w:tr>
        <w:trPr>
          <w:cantSplit/>
        </w:trPr>
        <w:tc>
          <w:tcPr>
            <w:tcW w:w="8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1c</w:t>
            </w:r>
          </w:p>
        </w:tc>
        <w:tc>
          <w:tcPr>
            <w:tcW w:w="51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Comportamento atteso se uno spostamento genera un sovraccarico di reparto: bloccare oppure accettare e segnalare</w:t>
            </w:r>
          </w:p>
        </w:tc>
        <w:tc>
          <w:tcPr>
            <w:tcW w:w="31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Pianificazione di produzione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w="51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Stato reale di avanzamento dei set 1 e 2 (modulo di rilevazione)</w:t>
            </w:r>
          </w:p>
        </w:tc>
        <w:tc>
          <w:tcPr>
            <w:tcW w:w="31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Pianificazione di produzione</w:t>
            </w:r>
          </w:p>
        </w:tc>
      </w:tr>
      <w:tr>
        <w:trPr>
          <w:cantSplit/>
        </w:trPr>
        <w:tc>
          <w:tcPr>
            <w:tcW w:w="8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w="51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Documenti SAP usati per il conto lavoro, codice con cui viaggia il pezzo a metà ciclo, codici dei magazzini fornitore</w:t>
            </w:r>
          </w:p>
        </w:tc>
        <w:tc>
          <w:tcPr>
            <w:tcW w:w="31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Acquisti, Pianificazione di produzione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w="51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Utente di sola lettura sul database SAP e accesso al Service Layer</w:t>
            </w:r>
          </w:p>
        </w:tc>
        <w:tc>
          <w:tcPr>
            <w:tcW w:w="31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IT</w:t>
            </w:r>
          </w:p>
        </w:tc>
      </w:tr>
      <w:tr>
        <w:trPr>
          <w:cantSplit/>
        </w:trPr>
        <w:tc>
          <w:tcPr>
            <w:tcW w:w="8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—</w:t>
            </w:r>
          </w:p>
        </w:tc>
        <w:tc>
          <w:tcPr>
            <w:tcW w:w="51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Anagrafica fornitori: verifica di due ragioni sociali simili per le saldature esterne</w:t>
            </w:r>
          </w:p>
        </w:tc>
        <w:tc>
          <w:tcPr>
            <w:tcW w:w="31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Acquisti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—</w:t>
            </w:r>
          </w:p>
        </w:tc>
        <w:tc>
          <w:tcPr>
            <w:tcW w:w="51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Configurazione della posta in uscita per le notifiche del sistema</w:t>
            </w:r>
          </w:p>
        </w:tc>
        <w:tc>
          <w:tcPr>
            <w:tcW w:w="31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IT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1"/>
      </w:pPr>
      <w:bookmarkStart w:id="9113" w:name="_Toc9113"/>
      <w:r>
        <w:rPr>
          <w:b/>
          <w:bCs/>
          <w:color w:val="757F9B"/>
          <w:sz w:val="28"/>
          <w:szCs w:val="28"/>
        </w:rPr>
        <w:t xml:space="preserve">7. Prossimi passi</w:t>
      </w:r>
      <w:bookmarkEnd w:id="9113"/>
    </w:p>
    <w:p>
      <w:pPr>
        <w:pStyle w:val="ListBullet"/>
        <w:spacing w:after="90" w:line="276" w:lineRule="auto"/>
      </w:pPr>
      <w:r>
        <w:rPr>
          <w:b/>
          <w:bCs/>
          <w:sz w:val="22"/>
          <w:szCs w:val="22"/>
        </w:rPr>
        <w:t xml:space="preserve">Expediting</w:t>
      </w:r>
      <w:r>
        <w:rPr>
          <w:sz w:val="22"/>
          <w:szCs w:val="22"/>
        </w:rPr>
        <w:t xml:space="preserve">: Ordine conto lavoro e cruscotto delle lavorazioni esterne (da ordinare, presso fornitore, in ritardo), con evidenza delle fasi che attraversano periodi di chiusura.</w:t>
      </w:r>
    </w:p>
    <w:p>
      <w:pPr>
        <w:pStyle w:val="ListBullet"/>
        <w:spacing w:after="90" w:line="276" w:lineRule="auto"/>
      </w:pPr>
      <w:r>
        <w:rPr>
          <w:b/>
          <w:bCs/>
          <w:sz w:val="22"/>
          <w:szCs w:val="22"/>
        </w:rPr>
        <w:t xml:space="preserve">Subentro in corsa</w:t>
      </w:r>
      <w:r>
        <w:rPr>
          <w:sz w:val="22"/>
          <w:szCs w:val="22"/>
        </w:rPr>
        <w:t xml:space="preserve">: modulo di rilevazione e allineamento dei set 1 e 2.</w:t>
      </w:r>
    </w:p>
    <w:p>
      <w:pPr>
        <w:pStyle w:val="ListBullet"/>
        <w:spacing w:after="90" w:line="276" w:lineRule="auto"/>
      </w:pPr>
      <w:r>
        <w:rPr>
          <w:b/>
          <w:bCs/>
          <w:sz w:val="22"/>
          <w:szCs w:val="22"/>
        </w:rPr>
        <w:t xml:space="preserve">Pagina impostazioni</w:t>
      </w:r>
      <w:r>
        <w:rPr>
          <w:sz w:val="22"/>
          <w:szCs w:val="22"/>
        </w:rPr>
        <w:t xml:space="preserve"> del sistema (buffer di trasporto, regole di pianificazione, calendari, capacità) con relativa documentazione.</w:t>
      </w:r>
    </w:p>
    <w:p>
      <w:pPr>
        <w:pStyle w:val="ListBullet"/>
        <w:spacing w:after="90" w:line="276" w:lineRule="auto"/>
      </w:pPr>
      <w:r>
        <w:rPr>
          <w:b/>
          <w:bCs/>
          <w:sz w:val="22"/>
          <w:szCs w:val="22"/>
        </w:rPr>
        <w:t xml:space="preserve">Collegamento SAP</w:t>
      </w:r>
      <w:r>
        <w:rPr>
          <w:sz w:val="22"/>
          <w:szCs w:val="22"/>
        </w:rPr>
        <w:t xml:space="preserve"> in sola lettura per movimenti e giacenze presso i fornitori.</w:t>
      </w:r>
    </w:p>
    <w:p>
      <w:pPr>
        <w:pStyle w:val="ListBullet"/>
        <w:spacing w:after="90" w:line="276" w:lineRule="auto"/>
      </w:pPr>
      <w:r>
        <w:rPr>
          <w:b/>
          <w:bCs/>
          <w:sz w:val="22"/>
          <w:szCs w:val="22"/>
        </w:rPr>
        <w:t xml:space="preserve">Aggiornamento documentale</w:t>
      </w:r>
      <w:r>
        <w:rPr>
          <w:sz w:val="22"/>
          <w:szCs w:val="22"/>
        </w:rPr>
        <w:t xml:space="preserve">: Analisi Obiettivi B4, Guida Produzione, Manuale Utente, Prerequisiti di avvio.</w:t>
      </w:r>
    </w:p>
    <w:tbl>
      <w:tblPr>
        <w:tblW w:w="9060" w:type="dxa"/>
        <w:tblBorders>
          <w:top w:val="single" w:sz="8" w:space="0" w:color="E0A800"/>
          <w:left w:val="single" w:sz="8" w:space="0" w:color="E0A800"/>
          <w:bottom w:val="single" w:sz="8" w:space="0" w:color="E0A800"/>
          <w:right w:val="single" w:sz="8" w:space="0" w:color="E0A800"/>
          <w:insideH w:val="single" w:sz="8" w:space="0" w:color="E0A800"/>
          <w:insideV w:val="single" w:sz="8" w:space="0" w:color="E0A800"/>
        </w:tblBorders>
        <w:tblLayout w:type="fixed"/>
        <w:tblLook w:val="04A0" w:firstRow="1" w:lastRow="0" w:firstColumn="1" w:lastColumn="0" w:noHBand="0" w:noVBand="1"/>
      </w:tblPr>
      <w:tblGrid>
        <w:gridCol w:w="9060"/>
      </w:tblGrid>
      <w:tr>
        <w:trPr>
          <w:cantSplit/>
        </w:trPr>
        <w:tc>
          <w:tcPr>
            <w:tcW w:w="9060" w:type="dxa"/>
            <w:shd w:val="clear" w:color="auto" w:fill="FFF8E1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Elemento da monitorare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I componenti P4000 e P5000 (perni), con la capacità attuale del Controllo Qualità, terminano da 1 a 13 giorni dopo l'inizio del montaggio finale del rispettivo set: vanno seguiti nel Gantt del set.</w:t>
            </w:r>
          </w:p>
        </w:tc>
      </w:tr>
    </w:tbl>
    <w:p>
      <w:pPr>
        <w:spacing w:after="0"/>
        <w:rPr>
          <w:sz w:val="8"/>
          <w:szCs w:val="8"/>
        </w:rPr>
      </w:pPr>
    </w:p>
    <w:sectPr>
      <w:headerReference w:type="default" r:id="rId11"/>
      <w:footerReference w:type="default" r:id="rId12"/>
      <w:pgSz w:w="11906" w:h="16838"/>
      <w:pgMar w:top="1620" w:right="1417" w:bottom="1134" w:left="1417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D2734" w14:textId="77777777" w:rsidR="00AA2500" w:rsidRDefault="00AA2500">
      <w:pPr>
        <w:spacing w:after="0" w:line="240" w:lineRule="auto"/>
      </w:pPr>
      <w:r>
        <w:separator/>
      </w:r>
    </w:p>
  </w:endnote>
  <w:endnote w:type="continuationSeparator" w:id="0">
    <w:p w14:paraId="7C25E889" w14:textId="77777777" w:rsidR="00AA2500" w:rsidRDefault="00AA25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"/>
      <w:pBdr>
        <w:top w:val="single" w:sz="6" w:space="6" w:color="757F9B"/>
      </w:pBdr>
      <w:spacing w:before="60" w:after="0"/>
      <w:jc w:val="center"/>
    </w:pPr>
    <w:r>
      <w:rPr>
        <w:color w:val="888888"/>
        <w:sz w:val="16"/>
        <w:szCs w:val="16"/>
      </w:rPr>
      <w:t xml:space="preserve">Start Information Technology S.r.l. — Via Campagnola, 5 — 24126 Bergamo</w:t>
    </w:r>
  </w:p>
  <w:p>
    <w:pPr>
      <w:pStyle w:val="Footer"/>
      <w:tabs>
        <w:tab w:val="center" w:pos="4530"/>
        <w:tab w:val="right" w:pos="9060"/>
      </w:tabs>
      <w:spacing w:after="0"/>
    </w:pPr>
    <w:r>
      <w:tab/>
    </w:r>
    <w:r>
      <w:rPr>
        <w:color w:val="888888"/>
        <w:sz w:val="16"/>
        <w:szCs w:val="16"/>
      </w:rPr>
      <w:t xml:space="preserve">Tel. 035-4243395 — info@startit.net — P.IVA 02646660130 — C.C.I.A.A. 336334</w:t>
    </w:r>
    <w:r>
      <w:tab/>
    </w:r>
    <w:r>
      <w:rPr>
        <w:color w:val="888888"/>
        <w:sz w:val="16"/>
        <w:szCs w:val="16"/>
      </w:rPr>
      <w:t xml:space="preserve">Pag.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 xml:space="preserve"> PAGE </w:instrText>
    </w:r>
    <w:r>
      <w:rPr>
        <w:color w:val="888888"/>
        <w:sz w:val="16"/>
        <w:szCs w:val="16"/>
      </w:rPr>
      <w:fldChar w:fldCharType="separate"/>
    </w:r>
    <w:r>
      <w:rPr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8AA64" w14:textId="77777777" w:rsidR="00AA2500" w:rsidRDefault="00AA2500">
      <w:pPr>
        <w:spacing w:after="0" w:line="240" w:lineRule="auto"/>
      </w:pPr>
      <w:r>
        <w:separator/>
      </w:r>
    </w:p>
  </w:footnote>
  <w:footnote w:type="continuationSeparator" w:id="0">
    <w:p w14:paraId="578EEA39" w14:textId="77777777" w:rsidR="00AA2500" w:rsidRDefault="00AA25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w="9060" w:type="dxa"/>
      <w:tblBorders>
        <w:bottom w:val="single" w:sz="6" w:space="0" w:color="757F9B"/>
        <w:insideV w:val="single" w:sz="3" w:space="0" w:color="757F9B"/>
      </w:tblBorders>
      <w:tblLayout w:type="fixed"/>
      <w:tblLook w:val="04A0" w:firstRow="1" w:lastRow="0" w:firstColumn="1" w:lastColumn="0" w:noHBand="0" w:noVBand="1"/>
    </w:tblPr>
    <w:tblGrid>
      <w:gridCol w:w="2400"/>
      <w:gridCol w:w="3000"/>
      <w:gridCol w:w="3660"/>
    </w:tblGrid>
    <w:tr>
      <w:tc>
        <w:tcPr>
          <w:tcW w:w="2400" w:type="dxa"/>
          <w:vAlign w:val="center"/>
        </w:tcPr>
        <w:p>
          <w:pPr>
            <w:spacing w:before="20" w:after="20"/>
          </w:pPr>
          <w:r>
            <w:drawing>
              <wp:inline distT="0" distB="0" distL="0" distR="0">
                <wp:extent cx="1368000" cy="322100"/>
                <wp:effectExtent l="0" t="0" r="0" b="0"/>
                <wp:docPr id="1" name="Logo Start I.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_startit.png"/>
                        <pic:cNvPicPr/>
                      </pic:nvPicPr>
                      <pic:blipFill>
                        <a:blip r:embed="rId10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8000" cy="322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0" w:type="dxa"/>
          <w:vAlign w:val="center"/>
        </w:tcPr>
        <w:p>
          <w:pPr>
            <w:spacing w:before="20" w:after="20"/>
            <w:jc w:val="center"/>
          </w:pPr>
          <w:r>
            <w:rPr>
              <w:b/>
              <w:bCs/>
              <w:color w:val="757F9B"/>
              <w:sz w:val="18"/>
              <w:szCs w:val="18"/>
            </w:rPr>
            <w:t xml:space="preserve">Remazel Engineering S.p.A.</w:t>
          </w:r>
        </w:p>
      </w:tc>
      <w:tc>
        <w:tcPr>
          <w:tcW w:w="3660" w:type="dxa"/>
          <w:vAlign w:val="center"/>
        </w:tcPr>
        <w:p>
          <w:pPr>
            <w:spacing w:before="20" w:after="20"/>
            <w:jc w:val="right"/>
          </w:pPr>
          <w:r>
            <w:rPr>
              <w:b/>
              <w:bCs/>
              <w:color w:val="757F9B"/>
              <w:sz w:val="18"/>
              <w:szCs w:val="18"/>
            </w:rPr>
            <w:t xml:space="preserve">Riepilogo personalizzazioni e avvio</w:t>
          </w:r>
        </w:p>
      </w:tc>
    </w:tr>
  </w:tbl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abstractNum w:abstractNumId="0">
    <w:multiLevelType w:val="hybridMultilevel"/>
    <w:lvl w:ilvl="0">
      <w:start w:val="1"/>
      <w:numFmt w:val="bullet"/>
      <w:lvlText w:val="•"/>
      <w:lvlJc w:val="left"/>
      <w:pPr>
        <w:ind w:left="396" w:hanging="226"/>
      </w:pPr>
      <w:rPr>
        <w:rFonts w:ascii="Arial" w:hAnsi="Arial" w:cs="Arial" w:hint="default"/>
        <w:color w:val="757F9B"/>
      </w:rPr>
    </w:lvl>
    <w:lvl w:ilvl="1">
      <w:start w:val="1"/>
      <w:numFmt w:val="bullet"/>
      <w:lvlText w:val="–"/>
      <w:lvlJc w:val="left"/>
      <w:pPr>
        <w:ind w:left="792" w:hanging="226"/>
      </w:pPr>
      <w:rPr>
        <w:rFonts w:ascii="Arial" w:hAnsi="Arial" w:cs="Arial" w:hint="default"/>
        <w:color w:val="757F9B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7A69"/>
    <w:rsid w:val="00326F90"/>
    <w:rsid w:val="00356287"/>
    <w:rsid w:val="003D4130"/>
    <w:rsid w:val="004E6AE1"/>
    <w:rsid w:val="00801117"/>
    <w:rsid w:val="00AA1D8D"/>
    <w:rsid w:val="00AA2500"/>
    <w:rsid w:val="00AC6F7C"/>
    <w:rsid w:val="00B47730"/>
    <w:rsid w:val="00CB0664"/>
    <w:rsid w:val="00CE13E1"/>
    <w:rsid w:val="00D84985"/>
    <w:rsid w:val="00E2230B"/>
    <w:rsid w:val="00F340E0"/>
    <w:rsid w:val="00F80F61"/>
    <w:rsid w:val="00F825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0E6D0D"/>
  <w14:defaultImageDpi w14:val="300"/>
  <w15:docId w15:val="{EB805A7D-779E-4FCB-918C-99100F3D5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color w:val="000000"/>
      <w:lang w:val="it-IT" w:eastAsia="it-IT" w:bidi="it-IT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120"/>
      <w:outlineLvl w:val="0"/>
    </w:pPr>
    <w:rPr>
      <w:rFonts w:ascii="Arial" w:eastAsia="Arial" w:hAnsi="Arial" w:cs="Arial"/>
      <w:b/>
      <w:bCs/>
      <w:color w:val="757F9B"/>
      <w:sz w:val="28"/>
      <w:szCs w:val="2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80" w:after="100"/>
      <w:outlineLvl w:val="1"/>
    </w:pPr>
    <w:rPr>
      <w:rFonts w:ascii="Arial" w:eastAsia="Arial" w:hAnsi="Arial" w:cs="Arial"/>
      <w:b/>
      <w:bCs/>
      <w:color w:val="757F9B"/>
      <w:sz w:val="24"/>
      <w:szCs w:val="24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40" w:after="80"/>
      <w:outlineLvl w:val="2"/>
    </w:pPr>
    <w:rPr>
      <w:rFonts w:ascii="Arial" w:eastAsia="Arial" w:hAnsi="Arial" w:cs="Arial"/>
      <w:b/>
      <w:bCs/>
      <w:color w:val="757F9B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00" w:after="80"/>
      <w:outlineLvl w:val="3"/>
    </w:pPr>
    <w:rPr>
      <w:rFonts w:ascii="Arial" w:eastAsia="Arial" w:hAnsi="Arial" w:cs="Arial"/>
      <w:b/>
      <w:bCs/>
      <w:i/>
      <w:iCs/>
      <w:color w:val="757F9B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uiPriority w:val="99"/>
    <w:pPr>
      <w:spacing w:after="0" w:line="240" w:lineRule="auto"/>
    </w:pPr>
    <w:rPr>
      <w:color w:val="888888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spacing w:after="90" w:line="276" w:lineRule="auto"/>
      <w:contextualSpacing/>
    </w:pPr>
    <w:rPr>
      <w:sz w:val="22"/>
      <w:szCs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pPr>
      <w:spacing w:after="100"/>
    </w:pPr>
  </w:style>
  <w:style w:type="paragraph" w:styleId="TOC2">
    <w:name w:val="toc 2"/>
    <w:basedOn w:val="Normal"/>
    <w:next w:val="Normal"/>
    <w:autoRedefine/>
    <w:uiPriority w:val="3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pPr>
      <w:spacing w:after="100"/>
      <w:ind w:left="6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
<Relationships xmlns="http://schemas.openxmlformats.org/package/2006/relationships"><Relationship Id="rId100" Type="http://schemas.openxmlformats.org/officeDocument/2006/relationships/image" Target="media/logo_starti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801</Words>
  <Characters>4568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 Dorini</cp:lastModifiedBy>
  <cp:revision>6</cp:revision>
  <dcterms:created xsi:type="dcterms:W3CDTF">2013-12-23T23:15:00Z</dcterms:created>
  <dcterms:modified xsi:type="dcterms:W3CDTF">2026-09-16T16:07:00Z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0x010100B6FAAF7B5A6BD94584FE8AD999C4E47F</vt:lpwstr>
  </property>
  <property fmtid="{D5CDD505-2E9C-101B-9397-08002B2CF9AE}" pid="3" name="MediaServiceImageTags">
    <vt:lpwstr/>
  </property>
</Properties>
</file>