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CONFRONTO FASI DI CICLO</w:t>
      </w: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SISTEMA E MONITOR DI PRODUZIONE</w:t>
      </w:r>
    </w:p>
    <w:p>
      <w:pPr>
        <w:spacing w:after="0"/>
      </w:pPr>
    </w:p>
    <w:p>
      <w:pPr>
        <w:spacing w:after="0"/>
        <w:jc w:val="center"/>
      </w:pPr>
      <w:r>
        <w:rPr>
          <w:sz w:val="24"/>
          <w:szCs w:val="24"/>
        </w:rPr>
        <w:t xml:space="preserve">Corrispondenza fra le fasi del ciclo T09-0100 in ERPNext</w:t>
      </w:r>
    </w:p>
    <w:p>
      <w:pPr>
        <w:spacing w:after="0"/>
        <w:jc w:val="center"/>
      </w:pPr>
      <w:r>
        <w:rPr>
          <w:sz w:val="24"/>
          <w:szCs w:val="24"/>
        </w:rPr>
        <w:t xml:space="preserve">e i codici attività timbrati sui monitor Timesheet</w:t>
      </w:r>
    </w:p>
    <w:p>
      <w:pPr>
        <w:spacing w:after="480"/>
        <w:jc w:val="center"/>
      </w:pPr>
      <w:r>
        <w:rPr>
          <w:sz w:val="24"/>
          <w:szCs w:val="24"/>
        </w:rPr>
        <w:t xml:space="preserve">Remazel Engineering S.p.A. — BU Combustion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6676"/>
      </w:tblGrid>
      <w:tr>
        <w:trPr>
          <w:cantSplit/>
          <w:tblHeader/>
        </w:trPr>
        <w:tc>
          <w:tcPr>
            <w:tcW w:w="2384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676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Analisi_Confronto_Fasi_Monitor_Remazel_B1.docx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1 — 9 ottobre 2026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 ottobre 2026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Redatto da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S.r.l.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Remazel Engineering S.p.A. — BU Combustion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M.E.S. Remazel — ERPNext v16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T09-0100 (Job 26-19008) — combustionerp.remazel.com; modulo 371 dei monitor Timesheet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Documento di analisi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/>
      </w:pPr>
      <w:r>
        <w:rPr>
          <w:b/>
          <w:bCs/>
          <w:color w:val="757F9B"/>
          <w:sz w:val="28"/>
          <w:szCs w:val="28"/>
        </w:rPr>
        <w:t xml:space="preserve">Indice</w:t>
      </w:r>
    </w:p>
    <w:p>
      <w:pPr>
        <w:spacing w:after="0"/>
      </w:pPr>
    </w:p>
    <w:p>
      <w:pPr>
        <w:pStyle w:val="TOC1"/>
        <w:tabs>
          <w:tab w:val="right" w:leader="dot" w:pos="9060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hyperlink w:anchor="_Toc9101" w:history="1">
        <w:r>
          <w:rPr>
            <w:b/>
            <w:bCs/>
            <w:sz w:val="22"/>
            <w:szCs w:val="22"/>
          </w:rPr>
          <w:t xml:space="preserve">1. Premessa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2" w:history="1">
        <w:r>
          <w:rPr>
            <w:b/>
            <w:bCs/>
            <w:sz w:val="22"/>
            <w:szCs w:val="22"/>
          </w:rPr>
          <w:t xml:space="preserve">2. Fonti e metodo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3" w:history="1">
        <w:r>
          <w:rPr>
            <w:b/>
            <w:bCs/>
            <w:sz w:val="22"/>
            <w:szCs w:val="22"/>
          </w:rPr>
          <w:t xml:space="preserve">3. Base dati: sistema e file del ciclo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4" w:history="1">
        <w:r>
          <w:rPr>
            <w:b/>
            <w:bCs/>
            <w:sz w:val="22"/>
            <w:szCs w:val="22"/>
          </w:rPr>
          <w:t xml:space="preserve">4. Perimetro confrontabile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5" w:history="1">
        <w:r>
          <w:rPr>
            <w:b/>
            <w:bCs/>
            <w:sz w:val="22"/>
            <w:szCs w:val="22"/>
          </w:rPr>
          <w:t xml:space="preserve">5. Corrispondenza delle fasi produttive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6" w:history="1">
        <w:r>
          <w:rPr>
            <w:sz w:val="22"/>
            <w:szCs w:val="22"/>
          </w:rPr>
          <w:t xml:space="preserve">5.1 Livello di corrispondenza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_Toc9106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4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7" w:history="1">
        <w:r>
          <w:rPr>
            <w:sz w:val="22"/>
            <w:szCs w:val="22"/>
          </w:rPr>
          <w:t xml:space="preserve">5.2 Dettaglio per gruppo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_Toc9107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8" w:history="1">
        <w:r>
          <w:rPr>
            <w:sz w:val="22"/>
            <w:szCs w:val="22"/>
          </w:rPr>
          <w:t xml:space="preserve">5.3 Confronto con l'abbinamento della funzione IT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_Toc9108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9" w:history="1">
        <w:r>
          <w:rPr>
            <w:b/>
            <w:bCs/>
            <w:sz w:val="22"/>
            <w:szCs w:val="22"/>
          </w:rPr>
          <w:t xml:space="preserve">6. Dati effettivi disponibili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_Toc9109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0" w:history="1">
        <w:r>
          <w:rPr>
            <w:b/>
            <w:bCs/>
            <w:sz w:val="22"/>
            <w:szCs w:val="22"/>
          </w:rPr>
          <w:t xml:space="preserve">7. Conclusioni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_Toc9110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1" w:history="1">
        <w:r>
          <w:rPr>
            <w:b/>
            <w:bCs/>
            <w:sz w:val="22"/>
            <w:szCs w:val="22"/>
          </w:rPr>
          <w:t xml:space="preserve">Allegato A. Fasi con abbinamento diverso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6</w:t>
        </w:r>
        <w:r>
          <w:rPr>
            <w:b/>
            <w:bCs/>
            <w:sz w:val="22"/>
            <w:szCs w:val="22"/>
          </w:rPr>
          <w:fldChar w:fldCharType="end"/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9101" w:name="_Toc9101"/>
      <w:r>
        <w:rPr>
          <w:b/>
          <w:bCs/>
          <w:color w:val="757F9B"/>
          <w:sz w:val="28"/>
          <w:szCs w:val="28"/>
        </w:rPr>
        <w:t xml:space="preserve">1. Premessa</w:t>
      </w:r>
      <w:bookmarkEnd w:id="9101"/>
    </w:p>
    <w:p>
      <w:pPr/>
      <w:r>
        <w:rPr>
          <w:sz w:val="22"/>
          <w:szCs w:val="22"/>
        </w:rPr>
        <w:t xml:space="preserve">In reparto le ore di lavoro si registrano oggi sui monitor Timesheet con i codici attività del modulo 371 (ciclo di assemblaggio B.U. Combustion), letti da schede a codice a barre. Per confrontare nella fase iniziale i dati del sistema con il monitoraggio attuale serve sapere quante fasi del ciclo ERPNext trovano un codice corrispondente nel 371.</w:t>
      </w:r>
    </w:p>
    <w:p>
      <w:pPr/>
      <w:r>
        <w:rPr>
          <w:sz w:val="22"/>
          <w:szCs w:val="22"/>
        </w:rPr>
        <w:t xml:space="preserve">Un primo confronto, eseguito dalla funzione IT sul file del ciclo 26-19008, indicava </w:t>
      </w:r>
      <w:r>
        <w:rPr>
          <w:b/>
          <w:bCs/>
          <w:sz w:val="22"/>
          <w:szCs w:val="22"/>
        </w:rPr>
        <w:t xml:space="preserve">463 fasi su 598 senza corrispondenza (77%)</w:t>
      </w:r>
      <w:r>
        <w:rPr>
          <w:sz w:val="22"/>
          <w:szCs w:val="22"/>
        </w:rPr>
        <w:t xml:space="preserve">. Questo documento rifà il confronto partendo dai dati presenti nel sistema e ne spiega il risultato.</w:t>
      </w:r>
    </w:p>
    <w:p>
      <w:pPr>
        <w:pStyle w:val="Heading1"/>
      </w:pPr>
      <w:bookmarkStart w:id="9102" w:name="_Toc9102"/>
      <w:r>
        <w:rPr>
          <w:b/>
          <w:bCs/>
          <w:color w:val="757F9B"/>
          <w:sz w:val="28"/>
          <w:szCs w:val="28"/>
        </w:rPr>
        <w:t xml:space="preserve">2. Fonti e metodo</w:t>
      </w:r>
      <w:bookmarkEnd w:id="9102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60"/>
      </w:tblGrid>
      <w:tr>
        <w:trPr>
          <w:cantSplit/>
          <w:tblHeader/>
        </w:trPr>
        <w:tc>
          <w:tcPr>
            <w:tcW w:w="2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w="6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 ERPNext (estrazione del 9 ottobre 2026)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57 distinte del Project T09, 540 operazioni con codice fase, 3.330 Job Card con tempi pianificati e registrati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Modulo 371, foglio Liner Fr7 FA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Codici attività Vxxx usati sui monitor, divisi per gruppo: Liner, Venturi, Cap, Molle, Final Assy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Confronto della funzione IT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Abbinamento fase per fase del file ciclo 26-19008 al modulo 371, con livello di affidabilità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Tipo di fase</w:t>
      </w:r>
      <w:r>
        <w:rPr>
          <w:sz w:val="22"/>
          <w:szCs w:val="22"/>
        </w:rPr>
        <w:t xml:space="preserve">: ricavato dalla sigla finale del codice fase (SA saldatura, ML molatura, MT montaggio, ST formatura, QC/VT/PT controlli, MX/VX/RX controlli radiografici, LA/LT/TT/FE lavorazioni esterne).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Interna o esterna</w:t>
      </w:r>
      <w:r>
        <w:rPr>
          <w:sz w:val="22"/>
          <w:szCs w:val="22"/>
        </w:rPr>
        <w:t xml:space="preserve">: dalla postazione dell'operazione (Lavorazione Esterna = conto lavoro).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Abbinamento al 371</w:t>
      </w:r>
      <w:r>
        <w:rPr>
          <w:sz w:val="22"/>
          <w:szCs w:val="22"/>
        </w:rPr>
        <w:t xml:space="preserve">: per articolo e tipo di fase, sulla base del gruppo di appartenenza del componente; ogni fase riceve un livello: univoca, probabile, ambigua, generica, nessuna.</w:t>
      </w:r>
    </w:p>
    <w:p>
      <w:pPr>
        <w:pStyle w:val="Heading1"/>
      </w:pPr>
      <w:bookmarkStart w:id="9103" w:name="_Toc9103"/>
      <w:r>
        <w:rPr>
          <w:b/>
          <w:bCs/>
          <w:color w:val="757F9B"/>
          <w:sz w:val="28"/>
          <w:szCs w:val="28"/>
        </w:rPr>
        <w:t xml:space="preserve">3. Base dati: sistema e file del ciclo</w:t>
      </w:r>
      <w:bookmarkEnd w:id="9103"/>
    </w:p>
    <w:p>
      <w:pPr/>
      <w:r>
        <w:rPr>
          <w:sz w:val="22"/>
          <w:szCs w:val="22"/>
        </w:rPr>
        <w:t xml:space="preserve">Il file del ciclo usato nel primo confronto conta 598 righe fase: 559 operazioni e 39 righe di materia prima, che nel sistema sono componenti di distinta e non operazioni. Le 559 operazioni del file e le 540 del sistema differiscono di 19 righe: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000"/>
        <w:gridCol w:w="5860"/>
      </w:tblGrid>
      <w:tr>
        <w:trPr>
          <w:cantSplit/>
          <w:tblHeader/>
        </w:trPr>
        <w:tc>
          <w:tcPr>
            <w:tcW w:w="2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Articolo</w:t>
            </w:r>
          </w:p>
        </w:tc>
        <w:tc>
          <w:tcPr>
            <w:tcW w:w="1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Righe</w:t>
            </w:r>
          </w:p>
        </w:tc>
        <w:tc>
          <w:tcPr>
            <w:tcW w:w="5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P1600</w:t>
            </w:r>
          </w:p>
        </w:tc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Componente usato in due punti dell'albero: il file ripete le fasi, il sistema le carica una volta con quantità 2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P1130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Due controlli dimensionali presenti nel file e non a sistema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P2200</w:t>
            </w:r>
          </w:p>
        </w:tc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Un controllo dimensionale presente nel file e non a sistema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P2301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Valutazione RX W30 presente nel file e non a sistema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In 95 operazioni il codice fase del sistema inizia con T08 e nel file con T09: è la regola di codifica adottata (articolo identico alla T08 = codice T08) e non cambia la fase.</w:t>
      </w:r>
    </w:p>
    <w:tbl>
      <w:tblPr>
        <w:tblW w:w="9060" w:type="dxa"/>
        <w:tblBorders>
          <w:top w:val="single" w:sz="8" w:space="0" w:color="4CAF50"/>
          <w:left w:val="single" w:sz="8" w:space="0" w:color="4CAF50"/>
          <w:bottom w:val="single" w:sz="8" w:space="0" w:color="4CAF50"/>
          <w:right w:val="single" w:sz="8" w:space="0" w:color="4CAF50"/>
          <w:insideH w:val="single" w:sz="8" w:space="0" w:color="4CAF50"/>
          <w:insideV w:val="single" w:sz="8" w:space="0" w:color="4CAF5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E8F5E9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Esito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Nessuna fase produttiva manca nel sistema. Tutte le 540 operazioni hanno il codice fase e tutte le 3.330 Job Card sono collegate a un'operazione di distinta.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4" w:name="_Toc9104"/>
      <w:r>
        <w:rPr>
          <w:b/>
          <w:bCs/>
          <w:color w:val="757F9B"/>
          <w:sz w:val="28"/>
          <w:szCs w:val="28"/>
        </w:rPr>
        <w:t xml:space="preserve">4. Perimetro confrontabile</w:t>
      </w:r>
      <w:bookmarkEnd w:id="9104"/>
    </w:p>
    <w:p>
      <w:pPr/>
      <w:r>
        <w:rPr>
          <w:sz w:val="22"/>
          <w:szCs w:val="22"/>
        </w:rPr>
        <w:t xml:space="preserve">Il modulo 371 codifica solo il lavoro manuale interno: assemblaggio, saldatura, molatura, conformatura, più alcune voci generiche (riparazioni, pulizia, attrezzature). Le fasi del sistema si dividono così: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700"/>
        <w:gridCol w:w="1300"/>
        <w:gridCol w:w="4060"/>
      </w:tblGrid>
      <w:tr>
        <w:trPr>
          <w:cantSplit/>
          <w:tblHeader/>
        </w:trPr>
        <w:tc>
          <w:tcPr>
            <w:tcW w:w="3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w="13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Operazioni</w:t>
            </w:r>
          </w:p>
        </w:tc>
        <w:tc>
          <w:tcPr>
            <w:tcW w:w="40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Codice nel 371</w:t>
            </w:r>
          </w:p>
        </w:tc>
      </w:tr>
      <w:tr>
        <w:trPr>
          <w:cantSplit/>
        </w:trPr>
        <w:tc>
          <w:tcPr>
            <w:tcW w:w="3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Fasi produttive interne (SA, ML, MT, ST)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126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Sì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Saldature in conto lavoro (SA)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Sì (nel 371 come saldatura)</w:t>
            </w:r>
          </w:p>
        </w:tc>
      </w:tr>
      <w:tr>
        <w:trPr>
          <w:cantSplit/>
        </w:trPr>
        <w:tc>
          <w:tcPr>
            <w:tcW w:w="3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Controlli qualità (QC, VT, PT)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215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Controlli radiografici (MX, VX, RX)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107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w="3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Lavorazioni esterne (LA, LT, TT, FE)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85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Flussaggio (TE)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w="3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Totale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540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Le fasi senza codice nel 371 non sono un difetto del ciclo: controlli e lavorazioni esterne non si timbrano sui monitor, quindi non possono avere corrispondenza. Il confronto ha senso sulle </w:t>
      </w:r>
      <w:r>
        <w:rPr>
          <w:b/>
          <w:bCs/>
          <w:sz w:val="22"/>
          <w:szCs w:val="22"/>
        </w:rPr>
        <w:t xml:space="preserve">132 fasi produttive</w:t>
      </w:r>
      <w:r>
        <w:rPr>
          <w:sz w:val="22"/>
          <w:szCs w:val="22"/>
        </w:rPr>
        <w:t xml:space="preserve"> (126 interne e 6 saldature in conto lavoro).</w:t>
      </w:r>
    </w:p>
    <w:p>
      <w:pPr>
        <w:pStyle w:val="Heading1"/>
      </w:pPr>
      <w:bookmarkStart w:id="9105" w:name="_Toc9105"/>
      <w:r>
        <w:rPr>
          <w:b/>
          <w:bCs/>
          <w:color w:val="757F9B"/>
          <w:sz w:val="28"/>
          <w:szCs w:val="28"/>
        </w:rPr>
        <w:t xml:space="preserve">5. Corrispondenza delle fasi produttive</w:t>
      </w:r>
      <w:bookmarkEnd w:id="9105"/>
    </w:p>
    <w:p>
      <w:pPr>
        <w:pStyle w:val="Heading2"/>
      </w:pPr>
      <w:bookmarkStart w:id="9106" w:name="_Toc9106"/>
      <w:r>
        <w:rPr>
          <w:b/>
          <w:bCs/>
          <w:color w:val="757F9B"/>
          <w:sz w:val="24"/>
          <w:szCs w:val="24"/>
        </w:rPr>
        <w:t xml:space="preserve">5.1 Livello di corrispondenza</w:t>
      </w:r>
      <w:bookmarkEnd w:id="910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1500"/>
        <w:gridCol w:w="4160"/>
      </w:tblGrid>
      <w:tr>
        <w:trPr>
          <w:cantSplit/>
          <w:tblHeader/>
        </w:trPr>
        <w:tc>
          <w:tcPr>
            <w:tcW w:w="34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Fasi</w:t>
            </w:r>
          </w:p>
        </w:tc>
        <w:tc>
          <w:tcPr>
            <w:tcW w:w="4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Univoca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Un solo codice 371 per la fase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Probabile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Un codice, scelto per analogia di operazione e componente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Ambigua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Due o tre codici possibili: il 371 distingue sottoassiemi che il ciclo non separa, o viceversa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Generica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Solo voci generiche: riparazioni (V191), pulizia (V605)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Nessuna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Marcature DOTPEEN, non previste nel 371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Totale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132</w:t>
            </w:r>
          </w:p>
        </w:tc>
        <w:tc>
          <w:tcPr>
            <w:tcW w:w="4160" w:type="dxa"/>
          </w:tcPr>
          <w:p>
            <w:pPr>
              <w:spacing w:before="40" w:after="40"/>
            </w:pP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Sulle 126 fasi interne il tempo pianificato è di 4.645 minuti per ciclo: il 59% ricade in fasi con corrispondenza univoca o probabile.</w:t>
      </w:r>
    </w:p>
    <w:p>
      <w:pPr>
        <w:pStyle w:val="Heading2"/>
      </w:pPr>
      <w:bookmarkStart w:id="9107" w:name="_Toc9107"/>
      <w:r>
        <w:rPr>
          <w:b/>
          <w:bCs/>
          <w:color w:val="757F9B"/>
          <w:sz w:val="24"/>
          <w:szCs w:val="24"/>
        </w:rPr>
        <w:t xml:space="preserve">5.2 Dettaglio per gruppo</w:t>
      </w:r>
      <w:bookmarkEnd w:id="9107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650"/>
        <w:gridCol w:w="1050"/>
        <w:gridCol w:w="1200"/>
        <w:gridCol w:w="1200"/>
        <w:gridCol w:w="1200"/>
        <w:gridCol w:w="1810"/>
      </w:tblGrid>
      <w:tr>
        <w:trPr>
          <w:cantSplit/>
          <w:tblHeader/>
        </w:trPr>
        <w:tc>
          <w:tcPr>
            <w:tcW w:w="195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Gruppo 371</w:t>
            </w:r>
          </w:p>
        </w:tc>
        <w:tc>
          <w:tcPr>
            <w:tcW w:w="65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Fasi</w:t>
            </w:r>
          </w:p>
        </w:tc>
        <w:tc>
          <w:tcPr>
            <w:tcW w:w="105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Univoca</w:t>
            </w:r>
          </w:p>
        </w:tc>
        <w:tc>
          <w:tcPr>
            <w:tcW w:w="1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Probabile</w:t>
            </w:r>
          </w:p>
        </w:tc>
        <w:tc>
          <w:tcPr>
            <w:tcW w:w="1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Ambigua</w:t>
            </w:r>
          </w:p>
        </w:tc>
        <w:tc>
          <w:tcPr>
            <w:tcW w:w="1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Generica</w:t>
            </w:r>
          </w:p>
        </w:tc>
        <w:tc>
          <w:tcPr>
            <w:tcW w:w="181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Minuti int.</w:t>
            </w:r>
          </w:p>
        </w:tc>
      </w:tr>
      <w:tr>
        <w:trPr>
          <w:cantSplit/>
        </w:trPr>
        <w:tc>
          <w:tcPr>
            <w:tcW w:w="19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Liner (V100)</w:t>
            </w:r>
          </w:p>
        </w:tc>
        <w:tc>
          <w:tcPr>
            <w:tcW w:w="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0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181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1.271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Venturi (V200)</w:t>
            </w:r>
          </w:p>
        </w:tc>
        <w:tc>
          <w:tcPr>
            <w:tcW w:w="6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10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81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875</w:t>
            </w:r>
          </w:p>
        </w:tc>
      </w:tr>
      <w:tr>
        <w:trPr>
          <w:cantSplit/>
        </w:trPr>
        <w:tc>
          <w:tcPr>
            <w:tcW w:w="19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Cap (V300)</w:t>
            </w:r>
          </w:p>
        </w:tc>
        <w:tc>
          <w:tcPr>
            <w:tcW w:w="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tcW w:w="10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81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1.927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Molle (V400)</w:t>
            </w:r>
          </w:p>
        </w:tc>
        <w:tc>
          <w:tcPr>
            <w:tcW w:w="6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0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81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32</w:t>
            </w:r>
          </w:p>
        </w:tc>
      </w:tr>
      <w:tr>
        <w:trPr>
          <w:cantSplit/>
        </w:trPr>
        <w:tc>
          <w:tcPr>
            <w:tcW w:w="19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Final Assy (V500)</w:t>
            </w:r>
          </w:p>
        </w:tc>
        <w:tc>
          <w:tcPr>
            <w:tcW w:w="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10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81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540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Nella tabella mancano le 3 fasi senza corrispondenza (2 in Final Assy, 1 in Venturi).</w:t>
      </w:r>
    </w:p>
    <w:p>
      <w:pPr>
        <w:pStyle w:val="Heading2"/>
      </w:pPr>
      <w:bookmarkStart w:id="9108" w:name="_Toc9108"/>
      <w:r>
        <w:rPr>
          <w:b/>
          <w:bCs/>
          <w:color w:val="757F9B"/>
          <w:sz w:val="24"/>
          <w:szCs w:val="24"/>
        </w:rPr>
        <w:t xml:space="preserve">5.3 Confronto con l'abbinamento della funzione IT</w:t>
      </w:r>
      <w:bookmarkEnd w:id="9108"/>
    </w:p>
    <w:p>
      <w:pPr/>
      <w:r>
        <w:rPr>
          <w:sz w:val="22"/>
          <w:szCs w:val="22"/>
        </w:rPr>
        <w:t xml:space="preserve">Sulle 132 fasi produttive i due abbinamenti condividono almeno un codice in </w:t>
      </w:r>
      <w:r>
        <w:rPr>
          <w:b/>
          <w:bCs/>
          <w:sz w:val="22"/>
          <w:szCs w:val="22"/>
        </w:rPr>
        <w:t xml:space="preserve">103 casi</w:t>
      </w:r>
      <w:r>
        <w:rPr>
          <w:sz w:val="22"/>
          <w:szCs w:val="22"/>
        </w:rPr>
        <w:t xml:space="preserve">. In </w:t>
      </w:r>
      <w:r>
        <w:rPr>
          <w:b/>
          <w:bCs/>
          <w:sz w:val="22"/>
          <w:szCs w:val="22"/>
        </w:rPr>
        <w:t xml:space="preserve">25 casi</w:t>
      </w:r>
      <w:r>
        <w:rPr>
          <w:sz w:val="22"/>
          <w:szCs w:val="22"/>
        </w:rPr>
        <w:t xml:space="preserve"> i codici sono diversi; le differenze si concentrano in tre punti: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Cap, inner body e outer body</w:t>
      </w:r>
      <w:r>
        <w:rPr>
          <w:sz w:val="22"/>
          <w:szCs w:val="22"/>
        </w:rPr>
        <w:t xml:space="preserve">: quali virole (P2201, P2202, P2301, P2304, P2307) appartengono all'uno o all'altro sottoassieme;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Swirler A2000</w:t>
      </w:r>
      <w:r>
        <w:rPr>
          <w:sz w:val="22"/>
          <w:szCs w:val="22"/>
        </w:rPr>
        <w:t xml:space="preserve">: codici della raggiera o della virola con swirler esterno;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Liner, giunzioni circonferenziali</w:t>
      </w:r>
      <w:r>
        <w:rPr>
          <w:sz w:val="22"/>
          <w:szCs w:val="22"/>
        </w:rPr>
        <w:t xml:space="preserve"> (P1104): il 371 numera le giunzioni secondo un'altra revisione del disegno.</w:t>
      </w:r>
    </w:p>
    <w:p>
      <w:pPr/>
      <w:r>
        <w:rPr>
          <w:sz w:val="22"/>
          <w:szCs w:val="22"/>
        </w:rPr>
        <w:t xml:space="preserve">L'elenco completo è nell'Allegato A (colonna IT = abbinamento della funzione IT).</w:t>
      </w: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Revisione del disegno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Alcuni codici di componente citati nel 371 (P1002, P1003, P1500 e altri) appartengono a una revisione del disegno diversa dalla 26-19008. Per le fasi ambigue e discordi la scelta del codice spetta al responsabile di produzione, che conosce l'uso reale delle schede a codice a barre.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9" w:name="_Toc9109"/>
      <w:r>
        <w:rPr>
          <w:b/>
          <w:bCs/>
          <w:color w:val="757F9B"/>
          <w:sz w:val="28"/>
          <w:szCs w:val="28"/>
        </w:rPr>
        <w:t xml:space="preserve">6. Dati effettivi disponibili</w:t>
      </w:r>
      <w:bookmarkEnd w:id="9109"/>
    </w:p>
    <w:p>
      <w:pPr/>
      <w:r>
        <w:rPr>
          <w:sz w:val="22"/>
          <w:szCs w:val="22"/>
        </w:rPr>
        <w:t xml:space="preserve">Al 9 ottobre 2026 nel sistema risultano </w:t>
      </w:r>
      <w:r>
        <w:rPr>
          <w:b/>
          <w:bCs/>
          <w:sz w:val="22"/>
          <w:szCs w:val="22"/>
        </w:rPr>
        <w:t xml:space="preserve">50 Job Card completate su 3.330</w:t>
      </w:r>
      <w:r>
        <w:rPr>
          <w:sz w:val="22"/>
          <w:szCs w:val="22"/>
        </w:rPr>
        <w:t xml:space="preserve">: 31 di lavorazioni esterne e 19 di fasi interne, per 3.960 minuti registrati sulle fasi interne. </w:t>
      </w:r>
      <w:r>
        <w:rPr>
          <w:b/>
          <w:bCs/>
          <w:sz w:val="22"/>
          <w:szCs w:val="22"/>
        </w:rPr>
        <w:t xml:space="preserve">Nessuna Job Card delle fasi produttive interne è ancora completata.</w:t>
      </w:r>
    </w:p>
    <w:p>
      <w:pPr/>
      <w:r>
        <w:rPr>
          <w:sz w:val="22"/>
          <w:szCs w:val="22"/>
        </w:rPr>
        <w:t xml:space="preserve">Il confronto delle ore effettive con i monitor potrà iniziare solo quando i reparti registreranno l'avanzamento sulle Job Card.</w:t>
      </w:r>
    </w:p>
    <w:p>
      <w:pPr>
        <w:pStyle w:val="Heading1"/>
      </w:pPr>
      <w:bookmarkStart w:id="9110" w:name="_Toc9110"/>
      <w:r>
        <w:rPr>
          <w:b/>
          <w:bCs/>
          <w:color w:val="757F9B"/>
          <w:sz w:val="28"/>
          <w:szCs w:val="28"/>
        </w:rPr>
        <w:t xml:space="preserve">7. Conclusioni</w:t>
      </w:r>
      <w:bookmarkEnd w:id="9110"/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Il 77% senza corrispondenza non indica un problema del ciclo</w:t>
      </w:r>
      <w:r>
        <w:rPr>
          <w:sz w:val="22"/>
          <w:szCs w:val="22"/>
        </w:rPr>
        <w:t xml:space="preserve">: è composto da controlli, lavorazioni esterne e righe di materia prima, che il modulo 371 non codifica.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Sulle fasi produttive la corrispondenza esiste quasi sempre</w:t>
      </w:r>
      <w:r>
        <w:rPr>
          <w:sz w:val="22"/>
          <w:szCs w:val="22"/>
        </w:rPr>
        <w:t xml:space="preserve">, ma è univoca o probabile solo per 74 fasi su 132 (56%): il 371 è più sintetico del ciclo e riferito a un'altra revisione del disegno.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Un confronto attendibile si fa per gruppo</w:t>
      </w:r>
      <w:r>
        <w:rPr>
          <w:sz w:val="22"/>
          <w:szCs w:val="22"/>
        </w:rPr>
        <w:t xml:space="preserve"> (Liner, Venturi, Cap, Molle, Final Assy) e non per singola fase, salvo validare prima le 37 fasi ambigue e le 25 discordi.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Mancano ancora le ore effettive nel sistema</w:t>
      </w:r>
      <w:r>
        <w:rPr>
          <w:sz w:val="22"/>
          <w:szCs w:val="22"/>
        </w:rPr>
        <w:t xml:space="preserve">: è il prerequisito di qualunque confronto con il monitoraggio attuale.</w:t>
      </w:r>
    </w:p>
    <w:tbl>
      <w:tblPr>
        <w:tblW w:w="9060" w:type="dxa"/>
        <w:tblBorders>
          <w:top w:val="single" w:sz="8" w:space="0" w:color="4CAF50"/>
          <w:left w:val="single" w:sz="8" w:space="0" w:color="4CAF50"/>
          <w:bottom w:val="single" w:sz="8" w:space="0" w:color="4CAF50"/>
          <w:right w:val="single" w:sz="8" w:space="0" w:color="4CAF50"/>
          <w:insideH w:val="single" w:sz="8" w:space="0" w:color="4CAF50"/>
          <w:insideV w:val="single" w:sz="8" w:space="0" w:color="4CAF5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E8F5E9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Esito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ciclo T09-0100 in ERPNext è completo e coerente con il file del ciclo. Il confronto con i monitor è possibile per gruppo di lavorazione appena i reparti registreranno l'avanzamento.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1" w:name="_Toc9111"/>
      <w:r>
        <w:rPr>
          <w:b/>
          <w:bCs/>
          <w:color w:val="757F9B"/>
          <w:sz w:val="28"/>
          <w:szCs w:val="28"/>
        </w:rPr>
        <w:t xml:space="preserve">Allegato A. Fasi con abbinamento diverso</w:t>
      </w:r>
      <w:bookmarkEnd w:id="9111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3660"/>
        <w:gridCol w:w="1650"/>
        <w:gridCol w:w="1300"/>
      </w:tblGrid>
      <w:tr>
        <w:trPr>
          <w:cantSplit/>
          <w:tblHeader/>
        </w:trPr>
        <w:tc>
          <w:tcPr>
            <w:tcW w:w="245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Codice fase</w:t>
            </w:r>
          </w:p>
        </w:tc>
        <w:tc>
          <w:tcPr>
            <w:tcW w:w="36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w="165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Analisi</w:t>
            </w:r>
          </w:p>
        </w:tc>
        <w:tc>
          <w:tcPr>
            <w:tcW w:w="13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T08-0100-P1100-10ML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Molatura W12</w:t>
            </w:r>
          </w:p>
        </w:tc>
        <w:tc>
          <w:tcPr>
            <w:tcW w:w="1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V130/191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V114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T08-0100-P1104-10SA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Saldatura circonferenziale W10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V134/140/146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V120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T08-0100-P1104-10ML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Molatura a filo lato interno W10</w:t>
            </w:r>
          </w:p>
        </w:tc>
        <w:tc>
          <w:tcPr>
            <w:tcW w:w="1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V136/142/148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V122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T08-0100-P2111-10SA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Saldatura longitudinale W39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V304/312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V358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T08-0100-P2111-10ML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Molatura W39</w:t>
            </w:r>
          </w:p>
        </w:tc>
        <w:tc>
          <w:tcPr>
            <w:tcW w:w="1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V306/314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V360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T08-0100-P2111-10ST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Calibratura espantore CNC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V308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V362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T08-0100-P2200-10MT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Pulizia, montaggio, puntatura</w:t>
            </w:r>
          </w:p>
        </w:tc>
        <w:tc>
          <w:tcPr>
            <w:tcW w:w="1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V338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V388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T08-0100-P2200-10SA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Saldatura a resistenza W61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V340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V389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T08-0100-P2201-10SA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Saldatura longitudinale W37</w:t>
            </w:r>
          </w:p>
        </w:tc>
        <w:tc>
          <w:tcPr>
            <w:tcW w:w="1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V358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V385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T08-0100-P2201-10ML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Conformaz. + Molatura W37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V360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V386/387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T08-0100-P2201-10ST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Formatura CNC</w:t>
            </w:r>
          </w:p>
        </w:tc>
        <w:tc>
          <w:tcPr>
            <w:tcW w:w="1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V362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V387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T08-0100-P2202-10SA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Saldatura longitudinale W37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V358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V385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T08-0100-P2202-10ML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Conformaz. + Molatura W37</w:t>
            </w:r>
          </w:p>
        </w:tc>
        <w:tc>
          <w:tcPr>
            <w:tcW w:w="1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V360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V386/387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T08-0100-P2202-10ST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Formatura CNC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V362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V387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T08-0100-P2300-20SA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Saldatura W36</w:t>
            </w:r>
          </w:p>
        </w:tc>
        <w:tc>
          <w:tcPr>
            <w:tcW w:w="1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V370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V382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T08-0100-P2301-10SA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Saldatura longitudinale W30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V385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V358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T08-0100-P2301-10ML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Conformaz. + Molatura W30</w:t>
            </w:r>
          </w:p>
        </w:tc>
        <w:tc>
          <w:tcPr>
            <w:tcW w:w="1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V386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V360/362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T08-0100-P2301-10ST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Formatura CNC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V387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V362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T08-0100-P2307-10SA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Saldatura longitudinale W31</w:t>
            </w:r>
          </w:p>
        </w:tc>
        <w:tc>
          <w:tcPr>
            <w:tcW w:w="1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V385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V358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T08-0100-P2307-10ML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Conformaz. + Molatura W31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V386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V360/362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T08-0100-P2307-10ST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Calibratura CNC</w:t>
            </w:r>
          </w:p>
        </w:tc>
        <w:tc>
          <w:tcPr>
            <w:tcW w:w="1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V387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V362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T09-0100-A2000-20SA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Montaggio + Puntatura Outer Swirler W52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V348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V374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T09-0100-A2000-30SA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Saldatura circonferenziale Outer Swirler W52</w:t>
            </w:r>
          </w:p>
        </w:tc>
        <w:tc>
          <w:tcPr>
            <w:tcW w:w="1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V350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V376</w:t>
            </w:r>
          </w:p>
        </w:tc>
      </w:tr>
      <w:tr>
        <w:trPr>
          <w:cantSplit/>
        </w:trPr>
        <w:tc>
          <w:tcPr>
            <w:tcW w:w="245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T09-0100-A2000-10ML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Molatura W52 a filo con vorticatore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V346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V378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T09-0100-P2100-50SA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Montaggio Center Body P2200 + Saldatura W51, W50</w:t>
            </w:r>
          </w:p>
        </w:tc>
        <w:tc>
          <w:tcPr>
            <w:tcW w:w="165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V393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V391</w:t>
            </w:r>
          </w:p>
        </w:tc>
      </w:tr>
    </w:tbl>
    <w:p>
      <w:pPr>
        <w:spacing w:after="0"/>
        <w:rPr>
          <w:sz w:val="8"/>
          <w:szCs w:val="8"/>
        </w:rPr>
      </w:pPr>
    </w:p>
    <w:sectPr>
      <w:headerReference w:type="default" r:id="rId11"/>
      <w:footerReference w:type="default" r:id="rId12"/>
      <w:pgSz w:w="11906" w:h="16838"/>
      <w:pgMar w:top="1620" w:right="1417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734" w14:textId="77777777" w:rsidR="00AA2500" w:rsidRDefault="00AA2500">
      <w:pPr>
        <w:spacing w:after="0" w:line="240" w:lineRule="auto"/>
      </w:pPr>
      <w:r>
        <w:separator/>
      </w:r>
    </w:p>
  </w:endnote>
  <w:endnote w:type="continuationSeparator" w:id="0">
    <w:p w14:paraId="7C25E889" w14:textId="77777777" w:rsidR="00AA2500" w:rsidRDefault="00A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sz="6" w:space="6" w:color="757F9B"/>
      </w:pBdr>
      <w:spacing w:before="60" w:after="0"/>
      <w:jc w:val="center"/>
    </w:pPr>
    <w:r>
      <w:rPr>
        <w:color w:val="888888"/>
        <w:sz w:val="16"/>
        <w:szCs w:val="16"/>
      </w:rPr>
      <w:t xml:space="preserve">Start Information Technology S.r.l. — Via Campagnola, 5 — 24126 Bergamo</w:t>
    </w:r>
  </w:p>
  <w:p>
    <w:pPr>
      <w:pStyle w:val="Footer"/>
      <w:tabs>
        <w:tab w:val="center" w:pos="4530"/>
        <w:tab w:val="right" w:pos="9060"/>
      </w:tabs>
      <w:spacing w:after="0"/>
    </w:pPr>
    <w:r>
      <w:tab/>
    </w:r>
    <w:r>
      <w:rPr>
        <w:color w:val="888888"/>
        <w:sz w:val="16"/>
        <w:szCs w:val="16"/>
      </w:rPr>
      <w:t xml:space="preserve">Tel. 035-4243395 — info@startit.net — P.IVA 02646660130 — C.C.I.A.A. 336334</w:t>
    </w:r>
    <w:r>
      <w:tab/>
    </w:r>
    <w:r>
      <w:rPr>
        <w:color w:val="888888"/>
        <w:sz w:val="16"/>
        <w:szCs w:val="16"/>
      </w:rPr>
      <w:t xml:space="preserve">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AA64" w14:textId="77777777" w:rsidR="00AA2500" w:rsidRDefault="00AA2500">
      <w:pPr>
        <w:spacing w:after="0" w:line="240" w:lineRule="auto"/>
      </w:pPr>
      <w:r>
        <w:separator/>
      </w:r>
    </w:p>
  </w:footnote>
  <w:footnote w:type="continuationSeparator" w:id="0">
    <w:p w14:paraId="578EEA39" w14:textId="77777777" w:rsidR="00AA2500" w:rsidRDefault="00AA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60" w:type="dxa"/>
      <w:tblBorders>
        <w:bottom w:val="single" w:sz="6" w:space="0" w:color="757F9B"/>
        <w:insideV w:val="single" w:sz="3" w:space="0" w:color="757F9B"/>
      </w:tblBorders>
      <w:tblLayout w:type="fixed"/>
      <w:tblLook w:val="04A0" w:firstRow="1" w:lastRow="0" w:firstColumn="1" w:lastColumn="0" w:noHBand="0" w:noVBand="1"/>
    </w:tblPr>
    <w:tblGrid>
      <w:gridCol w:w="2400"/>
      <w:gridCol w:w="3000"/>
      <w:gridCol w:w="3660"/>
    </w:tblGrid>
    <w:tr>
      <w:tc>
        <w:tcPr>
          <w:tcW w:w="2400" w:type="dxa"/>
          <w:vAlign w:val="center"/>
        </w:tcPr>
        <w:p>
          <w:pPr>
            <w:spacing w:before="20" w:after="20"/>
          </w:pPr>
          <w:r>
            <w:drawing>
              <wp:inline distT="0" distB="0" distL="0" distR="0">
                <wp:extent cx="1368000" cy="322100"/>
                <wp:effectExtent l="0" t="0" r="0" b="0"/>
                <wp:docPr id="1" name="Logo Start I.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tartit.png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2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  <w:vAlign w:val="center"/>
        </w:tcPr>
        <w:p>
          <w:pPr>
            <w:spacing w:before="20" w:after="20"/>
            <w:jc w:val="center"/>
          </w:pPr>
          <w:r>
            <w:rPr>
              <w:b/>
              <w:bCs/>
              <w:color w:val="757F9B"/>
              <w:sz w:val="18"/>
              <w:szCs w:val="18"/>
            </w:rPr>
            <w:t xml:space="preserve">Remazel Engineering S.p.A.</w:t>
          </w:r>
        </w:p>
      </w:tc>
      <w:tc>
        <w:tcPr>
          <w:tcW w:w="3660" w:type="dxa"/>
          <w:vAlign w:val="center"/>
        </w:tcPr>
        <w:p>
          <w:pPr>
            <w:spacing w:before="20" w:after="20"/>
            <w:jc w:val="right"/>
          </w:pPr>
          <w:r>
            <w:rPr>
              <w:b/>
              <w:bCs/>
              <w:color w:val="757F9B"/>
              <w:sz w:val="18"/>
              <w:szCs w:val="18"/>
            </w:rPr>
            <w:t xml:space="preserve">Confronto fasi sistema / monitor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396" w:hanging="226"/>
      </w:pPr>
      <w:rPr>
        <w:rFonts w:ascii="Arial" w:hAnsi="Arial" w:cs="Arial" w:hint="default"/>
        <w:color w:val="757F9B"/>
      </w:rPr>
    </w:lvl>
    <w:lvl w:ilvl="1">
      <w:start w:val="1"/>
      <w:numFmt w:val="bullet"/>
      <w:lvlText w:val="–"/>
      <w:lvlJc w:val="left"/>
      <w:pPr>
        <w:ind w:left="792" w:hanging="226"/>
      </w:pPr>
      <w:rPr>
        <w:rFonts w:ascii="Arial" w:hAnsi="Arial" w:cs="Arial" w:hint="default"/>
        <w:color w:val="757F9B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A69"/>
    <w:rsid w:val="00326F90"/>
    <w:rsid w:val="00356287"/>
    <w:rsid w:val="003D4130"/>
    <w:rsid w:val="004E6AE1"/>
    <w:rsid w:val="00801117"/>
    <w:rsid w:val="00AA1D8D"/>
    <w:rsid w:val="00AA2500"/>
    <w:rsid w:val="00AC6F7C"/>
    <w:rsid w:val="00B47730"/>
    <w:rsid w:val="00CB0664"/>
    <w:rsid w:val="00CE13E1"/>
    <w:rsid w:val="00D84985"/>
    <w:rsid w:val="00E2230B"/>
    <w:rsid w:val="00F340E0"/>
    <w:rsid w:val="00F80F61"/>
    <w:rsid w:val="00F8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E6D0D"/>
  <w14:defaultImageDpi w14:val="300"/>
  <w15:docId w15:val="{EB805A7D-779E-4FCB-918C-99100F3D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lang w:val="it-IT" w:eastAsia="it-IT" w:bidi="it-I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Arial" w:eastAsia="Arial" w:hAnsi="Arial" w:cs="Arial"/>
      <w:b/>
      <w:bCs/>
      <w:color w:val="757F9B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rFonts w:ascii="Arial" w:eastAsia="Arial" w:hAnsi="Arial" w:cs="Arial"/>
      <w:b/>
      <w:bCs/>
      <w:color w:val="757F9B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Arial" w:eastAsia="Arial" w:hAnsi="Arial" w:cs="Arial"/>
      <w:b/>
      <w:bCs/>
      <w:color w:val="757F9B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rFonts w:ascii="Arial" w:eastAsia="Arial" w:hAnsi="Arial" w:cs="Arial"/>
      <w:b/>
      <w:bCs/>
      <w:i/>
      <w:iCs/>
      <w:color w:val="757F9B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pPr>
      <w:spacing w:after="0" w:line="240" w:lineRule="auto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spacing w:after="90" w:line="276" w:lineRule="auto"/>
      <w:contextualSpacing/>
    </w:pPr>
    <w:rPr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100" Type="http://schemas.openxmlformats.org/officeDocument/2006/relationships/image" Target="media/logo_start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Dorini</cp:lastModifiedBy>
  <cp:revision>6</cp:revision>
  <dcterms:created xsi:type="dcterms:W3CDTF">2013-12-23T23:15:00Z</dcterms:created>
  <dcterms:modified xsi:type="dcterms:W3CDTF">2026-09-16T16:07:00Z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0x010100B6FAAF7B5A6BD94584FE8AD999C4E47F</vt:lpwstr>
  </property>
  <property fmtid="{D5CDD505-2E9C-101B-9397-08002B2CF9AE}" pid="3" name="MediaServiceImageTags">
    <vt:lpwstr/>
  </property>
</Properties>
</file>