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Mô tả công việc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Vị trí: SAP ABAP level Dev và Consultant - SL: 5-6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Module: SCM, FCM, HR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Version: ECC 6.0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Onboard date: 12/2024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Mức lương: VN: 2500$, KR: 4000$, có thể cân nhắc case by case về phần Signing bonus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Chế độ của VTI VN: package 13 tháng lương, nghỉ phép, teambuilding,...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Chế độ của công ty: package 12 tháng lương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Quy trình PV: 2 vòng: VTI và Khách hàng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Thông tin dự án: Làm việc cho KH Hàn hoặc Mỹ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Yêu cầu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Từ 04 năm kinh nghiệm làm SAP ABAP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Về thời gian onboard, có thể cân nhắc sau tết âm, đầu tháng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Về tiếng anh, đọc viết ok, giao tiếp cơ bản, sẽ cân nhắc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Quyền lợi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Mức lương: nhân sự làm việc tại VN: 2500$, nhân sự làm việc bên Hàn: 4000$, có thể cân nhắc case by case về phần Signing bonus.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Chế độ của VTI VN: package 13 tháng lương, nghỉ phép, teambuilding,...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Chế độ của công ty: package 12 tháng lương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