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tbl>
      <w:tblPr>
        <w:tblStyle w:val="Table1"/>
        <w:tblW w:w="10668.0" w:type="dxa"/>
        <w:jc w:val="left"/>
        <w:tblInd w:w="-1067.0" w:type="dxa"/>
        <w:tblLayout w:type="fixed"/>
        <w:tblLook w:val="0400"/>
      </w:tblPr>
      <w:tblGrid>
        <w:gridCol w:w="5400"/>
        <w:gridCol w:w="5268"/>
        <w:tblGridChange w:id="0">
          <w:tblGrid>
            <w:gridCol w:w="5400"/>
            <w:gridCol w:w="5268"/>
          </w:tblGrid>
        </w:tblGridChange>
      </w:tblGrid>
      <w:tr>
        <w:trPr>
          <w:cantSplit w:val="0"/>
          <w:tblHeader w:val="0"/>
        </w:trPr>
        <w:tc>
          <w:tcPr/>
          <w:p w:rsidR="00000000" w:rsidDel="00000000" w:rsidP="00000000" w:rsidRDefault="00000000" w:rsidRPr="00000000" w14:paraId="00000002">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GIÁO DỤC VÀ ĐÀO TẠO</w:t>
            </w:r>
          </w:p>
          <w:p w:rsidR="00000000" w:rsidDel="00000000" w:rsidP="00000000" w:rsidRDefault="00000000" w:rsidRPr="00000000" w14:paraId="00000003">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CAO ĐẲNG VIỆT MỸ HÀ NỘI</w:t>
            </w:r>
          </w:p>
        </w:tc>
        <w:tc>
          <w:tcPr/>
          <w:p w:rsidR="00000000" w:rsidDel="00000000" w:rsidP="00000000" w:rsidRDefault="00000000" w:rsidRPr="00000000" w14:paraId="00000004">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p w:rsidR="00000000" w:rsidDel="00000000" w:rsidP="00000000" w:rsidRDefault="00000000" w:rsidRPr="00000000" w14:paraId="00000005">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835660</wp:posOffset>
                      </wp:positionH>
                      <wp:positionV relativeFrom="paragraph">
                        <wp:posOffset>235585</wp:posOffset>
                      </wp:positionV>
                      <wp:extent cx="12700" cy="12700"/>
                      <wp:effectExtent b="0" l="0" r="0" t="0"/>
                      <wp:wrapNone/>
                      <wp:docPr id="1" name=""/>
                      <a:graphic>
                        <a:graphicData uri="http://schemas.microsoft.com/office/word/2010/wordprocessingShape">
                          <wps:wsp>
                            <wps:cNvCnPr/>
                            <wps:spPr>
                              <a:xfrm>
                                <a:off x="4545900" y="3780000"/>
                                <a:ext cx="160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835660</wp:posOffset>
                      </wp:positionH>
                      <wp:positionV relativeFrom="paragraph">
                        <wp:posOffset>235585</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tc>
      </w:tr>
      <w:tr>
        <w:trPr>
          <w:cantSplit w:val="0"/>
          <w:trHeight w:val="287" w:hRule="atLeast"/>
          <w:tblHeader w:val="0"/>
        </w:trPr>
        <w:tc>
          <w:tcPr/>
          <w:p w:rsidR="00000000" w:rsidDel="00000000" w:rsidP="00000000" w:rsidRDefault="00000000" w:rsidRPr="00000000" w14:paraId="00000006">
            <w:pPr>
              <w:widowControl w:val="1"/>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1032510</wp:posOffset>
                      </wp:positionH>
                      <wp:positionV relativeFrom="paragraph">
                        <wp:posOffset>17780</wp:posOffset>
                      </wp:positionV>
                      <wp:extent cx="12700" cy="12700"/>
                      <wp:effectExtent b="0" l="0" r="0" t="0"/>
                      <wp:wrapNone/>
                      <wp:docPr id="2" name=""/>
                      <a:graphic>
                        <a:graphicData uri="http://schemas.microsoft.com/office/word/2010/wordprocessingShape">
                          <wps:wsp>
                            <wps:cNvCnPr/>
                            <wps:spPr>
                              <a:xfrm>
                                <a:off x="4705920" y="3780000"/>
                                <a:ext cx="12801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1032510</wp:posOffset>
                      </wp:positionH>
                      <wp:positionV relativeFrom="paragraph">
                        <wp:posOffset>17780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tc>
        <w:tc>
          <w:tcPr/>
          <w:p w:rsidR="00000000" w:rsidDel="00000000" w:rsidP="00000000" w:rsidRDefault="00000000" w:rsidRPr="00000000" w14:paraId="00000007">
            <w:pPr>
              <w:widowControl w:val="1"/>
              <w:ind w:right="720"/>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TÌNH HÌNH SINH VIÊN &amp; TỶ LỆ THÔI HỌC CỦA KHOA CÔNG NGHỆ - THIẾT KẾ (NĂM HỌC 2025-2026)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Kính gửi:</w:t>
      </w:r>
      <w:r w:rsidDel="00000000" w:rsidR="00000000" w:rsidRPr="00000000">
        <w:rPr>
          <w:rFonts w:ascii="Times New Roman" w:cs="Times New Roman" w:eastAsia="Times New Roman" w:hAnsi="Times New Roman"/>
          <w:rtl w:val="0"/>
        </w:rPr>
        <w:t xml:space="preserve"> Ban Giám hiệu Nhà trường, Phòng Đào tạo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 thực hiện:</w:t>
      </w:r>
      <w:r w:rsidDel="00000000" w:rsidR="00000000" w:rsidRPr="00000000">
        <w:rPr>
          <w:rFonts w:ascii="Times New Roman" w:cs="Times New Roman" w:eastAsia="Times New Roman" w:hAnsi="Times New Roman"/>
          <w:rtl w:val="0"/>
        </w:rPr>
        <w:t xml:space="preserve"> Trưởng khoa Công nghệ - Thiết kế</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Giai đoạn thống kê:</w:t>
      </w:r>
      <w:r w:rsidDel="00000000" w:rsidR="00000000" w:rsidRPr="00000000">
        <w:rPr>
          <w:rFonts w:ascii="Times New Roman" w:cs="Times New Roman" w:eastAsia="Times New Roman" w:hAnsi="Times New Roman"/>
          <w:rtl w:val="0"/>
        </w:rPr>
        <w:t xml:space="preserve"> Năm học 2025 - 202</w:t>
      </w: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color w:val="222222"/>
          <w:highlight w:val="white"/>
          <w:rtl w:val="0"/>
        </w:rPr>
        <w:t xml:space="preserve">(từ tháng 07/2025 đến hết tháng 06/2026</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Nguồn dữ liệu:</w:t>
      </w:r>
      <w:r w:rsidDel="00000000" w:rsidR="00000000" w:rsidRPr="00000000">
        <w:rPr>
          <w:rFonts w:ascii="Times New Roman" w:cs="Times New Roman" w:eastAsia="Times New Roman" w:hAnsi="Times New Roman"/>
          <w:rtl w:val="0"/>
        </w:rPr>
        <w:t xml:space="preserve"> CMS Nhà trường, báo cáo nội bộ của Khoa/ ngành.</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NGÀNH CÔNG NGHỆ Ô TÔ (VIT)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255"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Thống kê Số liệu (Định lượng)</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 Phân tích tỉ lệ thôi học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dữ liệu thống kê lũy kế đến tháng 06/2026, ngành Công nghệ ô tô (VIT) ghi nhận tổng số 42 sinh viên thôi học trên toàn quy mô 355 sinh viên đầu kỳ, đạt tỷ lệ thôi học trung bình toàn ngành là 11,83%. Quy luật biến động cho thấy tỷ lệ thôi học tập trung cao nhất vào giai đoạn kết thúc học kỳ I và đầu học kỳ II (thường rơi vào Quý I và Quý II hàng năm), khi sinh viên đối mặt với các môn cơ sở ngành chuyên sâu mang tính kỹ thuật nặng.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theo khóa học và hệ đào tạo, tỷ lệ drop-out (thôi học) nghiêm trọng nhất thuộc về khóa mới K25, cụ thể là hệ Cao đẳng Chính quy với tỷ lệ nguy cơ kỳ lên đến mức cao là 1600.00% (do số lượng nhập học thực tế đầu kỳ ghi nhận trên hệ thống tuyển sinh ban đầu rất thấp nhưng lượng sinh viên biến động phát sinh lớn trong kỳ). Ở khóa cũ, hệ Cao đẳng Chính quy K24 có số lượng thôi học tuyệt đối lớn nhất với 20 sinh viên (tỷ lệ 22.99%), cho thấy đây là vùng rủi ro cần đặc biệt lưu tâm.</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Biến động số lượng (Đầu vào vs. Hiện tại)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f2f2f2"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Khóa học / Hệ đào tạo</w:t>
            </w:r>
          </w:p>
        </w:tc>
        <w:tc>
          <w:tcPr>
            <w:shd w:fill="f2f2f2"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Số lượng đầu kỳ (SV)</w:t>
            </w:r>
          </w:p>
        </w:tc>
        <w:tc>
          <w:tcPr>
            <w:shd w:fill="f2f2f2"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Đang học thực tế (SV)</w:t>
            </w:r>
          </w:p>
        </w:tc>
        <w:tc>
          <w:tcPr>
            <w:shd w:fill="f2f2f2"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Tỷ lệ gắn kết (%)</w:t>
            </w:r>
          </w:p>
        </w:tc>
        <w:tc>
          <w:tcPr>
            <w:shd w:fill="f2f2f2"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NHDN lũy kế (SV)</w:t>
            </w:r>
          </w:p>
        </w:tc>
        <w:tc>
          <w:tcPr>
            <w:shd w:fill="f2f2f2"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Bảo lưu (SV)</w:t>
            </w:r>
          </w:p>
        </w:tc>
        <w:tc>
          <w:tcPr>
            <w:shd w:fill="f2f2f2"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Thôi học (SV)</w:t>
            </w:r>
          </w:p>
        </w:tc>
        <w:tc>
          <w:tcPr>
            <w:shd w:fill="f2f2f2"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Tỷ lệ "Biến mất"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K25</w:t>
            </w:r>
          </w:p>
        </w:tc>
        <w:tc>
          <w:tcPr>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68</w:t>
            </w:r>
          </w:p>
        </w:tc>
        <w:tc>
          <w:tcPr>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w:t>
            </w:r>
          </w:p>
        </w:tc>
        <w:tc>
          <w:tcPr>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- 9+ 7 Môn</w:t>
            </w:r>
          </w:p>
        </w:tc>
        <w:tc>
          <w:tcPr>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3800.00%</w:t>
            </w:r>
          </w:p>
        </w:tc>
        <w:tc>
          <w:tcPr>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+ 4 Môn</w:t>
            </w:r>
          </w:p>
        </w:tc>
        <w:tc>
          <w:tcPr>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1450.00%</w:t>
            </w:r>
          </w:p>
        </w:tc>
        <w:tc>
          <w:tcPr>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K24</w:t>
            </w:r>
          </w:p>
        </w:tc>
        <w:tc>
          <w:tcPr>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132</w:t>
            </w:r>
          </w:p>
        </w:tc>
        <w:tc>
          <w:tcPr>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92</w:t>
            </w:r>
          </w:p>
        </w:tc>
        <w:tc>
          <w:tcPr>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69.70%</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30.30%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- 9+ 7 Môn</w:t>
            </w:r>
          </w:p>
        </w:tc>
        <w:tc>
          <w:tcPr>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89.74%</w:t>
            </w:r>
          </w:p>
        </w:tc>
        <w:tc>
          <w:tcPr>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10.26%</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+ 4 Môn</w:t>
            </w:r>
          </w:p>
        </w:tc>
        <w:tc>
          <w:tcPr>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16.67%</w:t>
            </w:r>
          </w:p>
        </w:tc>
        <w:tc>
          <w:tcPr>
            <w:shd w:fill="auto" w:val="clear"/>
            <w:tcMar>
              <w:top w:w="75.0" w:type="dxa"/>
              <w:left w:w="75.0" w:type="dxa"/>
              <w:bottom w:w="75.0" w:type="dxa"/>
              <w:right w:w="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83.33%</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c>
          <w:tcPr>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64.37%</w:t>
            </w:r>
          </w:p>
        </w:tc>
        <w:tc>
          <w:tcPr>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35.63%</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K23</w:t>
            </w:r>
          </w:p>
        </w:tc>
        <w:tc>
          <w:tcPr>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219</w:t>
            </w:r>
          </w:p>
        </w:tc>
        <w:tc>
          <w:tcPr>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w:t>
            </w:r>
          </w:p>
        </w:tc>
        <w:tc>
          <w:tcPr>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46.12%</w:t>
            </w:r>
          </w:p>
        </w:tc>
        <w:tc>
          <w:tcPr>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shd w:fill="auto" w:val="clear"/>
            <w:tcMar>
              <w:top w:w="75.0" w:type="dxa"/>
              <w:left w:w="75.0" w:type="dxa"/>
              <w:bottom w:w="75.0" w:type="dxa"/>
              <w:right w:w="7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53.88%</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- 9+ 7 Môn</w:t>
            </w:r>
          </w:p>
        </w:tc>
        <w:tc>
          <w:tcPr>
            <w:shd w:fill="auto" w:val="clear"/>
            <w:tcMar>
              <w:top w:w="75.0" w:type="dxa"/>
              <w:left w:w="75.0" w:type="dxa"/>
              <w:bottom w:w="75.0" w:type="dxa"/>
              <w:right w:w="7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75.0" w:type="dxa"/>
              <w:left w:w="75.0" w:type="dxa"/>
              <w:bottom w:w="75.0" w:type="dxa"/>
              <w:right w:w="7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75.0" w:type="dxa"/>
              <w:left w:w="75.0" w:type="dxa"/>
              <w:bottom w:w="75.0" w:type="dxa"/>
              <w:right w:w="7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77.78%</w:t>
            </w:r>
          </w:p>
        </w:tc>
        <w:tc>
          <w:tcPr>
            <w:shd w:fill="auto" w:val="clear"/>
            <w:tcMar>
              <w:top w:w="75.0" w:type="dxa"/>
              <w:left w:w="75.0" w:type="dxa"/>
              <w:bottom w:w="75.0" w:type="dxa"/>
              <w:right w:w="7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22.22%</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+ 4 Môn</w:t>
            </w:r>
          </w:p>
        </w:tc>
        <w:tc>
          <w:tcPr>
            <w:shd w:fill="auto" w:val="clear"/>
            <w:tcMar>
              <w:top w:w="75.0" w:type="dxa"/>
              <w:left w:w="75.0" w:type="dxa"/>
              <w:bottom w:w="75.0" w:type="dxa"/>
              <w:right w:w="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shd w:fill="auto" w:val="clear"/>
            <w:tcMar>
              <w:top w:w="75.0" w:type="dxa"/>
              <w:left w:w="75.0" w:type="dxa"/>
              <w:bottom w:w="75.0" w:type="dxa"/>
              <w:right w:w="7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shd w:fill="auto" w:val="clear"/>
            <w:tcMar>
              <w:top w:w="75.0" w:type="dxa"/>
              <w:left w:w="75.0" w:type="dxa"/>
              <w:bottom w:w="75.0" w:type="dxa"/>
              <w:right w:w="7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w:t>
            </w:r>
          </w:p>
        </w:tc>
        <w:tc>
          <w:tcPr>
            <w:shd w:fill="auto" w:val="clear"/>
            <w:tcMar>
              <w:top w:w="75.0" w:type="dxa"/>
              <w:left w:w="75.0" w:type="dxa"/>
              <w:bottom w:w="75.0" w:type="dxa"/>
              <w:right w:w="7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shd w:fill="auto" w:val="clear"/>
            <w:tcMar>
              <w:top w:w="75.0" w:type="dxa"/>
              <w:left w:w="75.0" w:type="dxa"/>
              <w:bottom w:w="75.0" w:type="dxa"/>
              <w:right w:w="7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37.21%</w:t>
            </w:r>
          </w:p>
        </w:tc>
        <w:tc>
          <w:tcPr>
            <w:shd w:fill="auto" w:val="clear"/>
            <w:tcMar>
              <w:top w:w="75.0" w:type="dxa"/>
              <w:left w:w="75.0" w:type="dxa"/>
              <w:bottom w:w="75.0" w:type="dxa"/>
              <w:right w:w="7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75.0" w:type="dxa"/>
              <w:left w:w="75.0" w:type="dxa"/>
              <w:bottom w:w="75.0" w:type="dxa"/>
              <w:right w:w="7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62.79%</w:t>
            </w:r>
          </w:p>
        </w:tc>
      </w:tr>
      <w:tr>
        <w:trPr>
          <w:cantSplit w:val="0"/>
          <w:tblHeader w:val="0"/>
        </w:trPr>
        <w:tc>
          <w:tcPr>
            <w:shd w:fill="e6f2ff" w:val="clear"/>
            <w:tcMar>
              <w:top w:w="75.0" w:type="dxa"/>
              <w:left w:w="75.0" w:type="dxa"/>
              <w:bottom w:w="75.0" w:type="dxa"/>
              <w:right w:w="7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TỔNG TOÀN NGÀNH</w:t>
            </w:r>
          </w:p>
        </w:tc>
        <w:tc>
          <w:tcPr>
            <w:shd w:fill="e6f2ff" w:val="clear"/>
            <w:tcMar>
              <w:top w:w="75.0" w:type="dxa"/>
              <w:left w:w="75.0" w:type="dxa"/>
              <w:bottom w:w="75.0" w:type="dxa"/>
              <w:right w:w="7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355</w:t>
            </w:r>
          </w:p>
        </w:tc>
        <w:tc>
          <w:tcPr>
            <w:shd w:fill="e6f2ff" w:val="clear"/>
            <w:tcMar>
              <w:top w:w="75.0" w:type="dxa"/>
              <w:left w:w="75.0" w:type="dxa"/>
              <w:bottom w:w="75.0" w:type="dxa"/>
              <w:right w:w="7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261</w:t>
            </w:r>
          </w:p>
        </w:tc>
        <w:tc>
          <w:tcPr>
            <w:shd w:fill="e6f2ff" w:val="clear"/>
            <w:tcMar>
              <w:top w:w="75.0" w:type="dxa"/>
              <w:left w:w="75.0" w:type="dxa"/>
              <w:bottom w:w="75.0" w:type="dxa"/>
              <w:right w:w="7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73.52%</w:t>
            </w:r>
          </w:p>
        </w:tc>
        <w:tc>
          <w:tcPr>
            <w:shd w:fill="e6f2ff" w:val="clear"/>
            <w:tcMar>
              <w:top w:w="75.0" w:type="dxa"/>
              <w:left w:w="75.0" w:type="dxa"/>
              <w:bottom w:w="75.0" w:type="dxa"/>
              <w:right w:w="7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42</w:t>
            </w:r>
          </w:p>
        </w:tc>
        <w:tc>
          <w:tcPr>
            <w:shd w:fill="e6f2ff" w:val="clear"/>
            <w:tcMar>
              <w:top w:w="75.0" w:type="dxa"/>
              <w:left w:w="75.0" w:type="dxa"/>
              <w:bottom w:w="75.0" w:type="dxa"/>
              <w:right w:w="7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13</w:t>
            </w:r>
          </w:p>
        </w:tc>
        <w:tc>
          <w:tcPr>
            <w:shd w:fill="e6f2ff" w:val="clear"/>
            <w:tcMar>
              <w:top w:w="75.0" w:type="dxa"/>
              <w:left w:w="75.0" w:type="dxa"/>
              <w:bottom w:w="75.0" w:type="dxa"/>
              <w:right w:w="7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42</w:t>
            </w:r>
          </w:p>
        </w:tc>
        <w:tc>
          <w:tcPr>
            <w:shd w:fill="e6f2ff" w:val="clear"/>
            <w:tcMar>
              <w:top w:w="75.0" w:type="dxa"/>
              <w:left w:w="75.0" w:type="dxa"/>
              <w:bottom w:w="75.0" w:type="dxa"/>
              <w:right w:w="7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26.48%</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xét:</w:t>
      </w:r>
      <w:r w:rsidDel="00000000" w:rsidR="00000000" w:rsidRPr="00000000">
        <w:rPr>
          <w:rFonts w:ascii="Times New Roman" w:cs="Times New Roman" w:eastAsia="Times New Roman" w:hAnsi="Times New Roman"/>
          <w:rtl w:val="0"/>
        </w:rPr>
        <w:t xml:space="preserve"> Tỷ lệ sinh viên thực sự gắn kết (đang học tập đều đặn) toàn ngành đạt 73.52%. Tổng tỷ lệ sinh viên "biến mất" khỏi hệ thống học tập bình thường là 26.48% (bao gồm thôi học, bảo lưu, nghỉ học dài ngày, đình chỉ). Khóa học đang ở mức báo động đỏ của ngành là </w:t>
      </w:r>
      <w:r w:rsidDel="00000000" w:rsidR="00000000" w:rsidRPr="00000000">
        <w:rPr>
          <w:rFonts w:ascii="Times New Roman" w:cs="Times New Roman" w:eastAsia="Times New Roman" w:hAnsi="Times New Roman"/>
          <w:b w:val="1"/>
          <w:bCs w:val="1"/>
          <w:rtl w:val="0"/>
        </w:rPr>
        <w:t xml:space="preserve">Khóa K25 Hệ Cao đẳng Chính quy</w:t>
      </w:r>
      <w:r w:rsidDel="00000000" w:rsidR="00000000" w:rsidRPr="00000000">
        <w:rPr>
          <w:rFonts w:ascii="Times New Roman" w:cs="Times New Roman" w:eastAsia="Times New Roman" w:hAnsi="Times New Roman"/>
          <w:rtl w:val="0"/>
        </w:rPr>
        <w:t xml:space="preserve"> với lượng sinh viên nghỉ học dài ngày (NHDN) tích lũy lên tới 24 sinh viên và tỷ lệ rủi ro nguy cơ kỳ đạt đỉnh 1600.00%.</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Báo cáo chuyên sâu về nhóm "Sinh viên nghỉ học dài ngày"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sinh viên nghỉ học dài ngày (NHDN) lũy kế của ngành Ô tô hiện tại là 42 sinh viên (chiếm 11.83% quy mô ngành). Đây là nhóm nguy cơ chuyển sang thôi học cao nhất. Tình trạng cụ thể phân bổ như sau:</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Cao đẳng chính quy K25: 24 sinh viên. Đây là nhóm nghiêm trọng nhất, sinh viên ngắt quãng học tập ngay từ năm đầu tiên.</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Cao đẳng chính quy K24: 6 sinh viên.</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Cao đẳng chính quy K23: 3 sinh viên.</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hệ 9+ (K25, K24, K23): Tổng cộng 9 sinh viên.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Phương án xử lý:</w:t>
      </w:r>
      <w:r w:rsidDel="00000000" w:rsidR="00000000" w:rsidRPr="00000000">
        <w:rPr>
          <w:rFonts w:ascii="Times New Roman" w:cs="Times New Roman" w:eastAsia="Times New Roman" w:hAnsi="Times New Roman"/>
          <w:rtl w:val="0"/>
        </w:rPr>
        <w:t xml:space="preserve"> Văn thư Khoa phối hợp với Giáo viên chủ nhiệm (GVCN) lập danh sách chi tiết, thực hiện chiến dịch liên hệ trực tiếp qua điện thoại với từng phụ huynh của 42 trường hợp này nhằm xác minh lý do nghỉ học trước khi ra quyết định đình chỉ hoặc xử lý thôi học chính thức.</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Phân tích nguyên nhân &amp; Thực trạng quản lý (Định tính)</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1. Mô hình quản lý hiện tại:</w:t>
      </w:r>
      <w:r w:rsidDel="00000000" w:rsidR="00000000" w:rsidRPr="00000000">
        <w:rPr>
          <w:rFonts w:ascii="Times New Roman" w:cs="Times New Roman" w:eastAsia="Times New Roman" w:hAnsi="Times New Roman"/>
          <w:rtl w:val="0"/>
        </w:rPr>
        <w:t xml:space="preserve"> Quản lý theo mô hình GVCN kiêm cố vấn học tập, kết hợp với GB bộ môn để điểm danh và theo dõi chuyên cần. Tuy nhiên, việc phản hồi thông tin từ lớp lên Ngành còn có độ trễ, chưa có sự kết nối tự động giữa phần mềm quản lý đào tạo và hệ thống cảnh báo sớm.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2. Phân tích nguyên nhân gốc rễ:</w:t>
      </w:r>
      <w:r w:rsidDel="00000000" w:rsidR="00000000" w:rsidRPr="00000000">
        <w:rPr>
          <w:rFonts w:ascii="Times New Roman" w:cs="Times New Roman" w:eastAsia="Times New Roman" w:hAnsi="Times New Roman"/>
          <w:rtl w:val="0"/>
        </w:rPr>
        <w:t xml:space="preserve"> Sinh viên rời bỏ ngành phần lớn do áp lực học tập các môn kỹ thuật nặng, phối hợp với việc đi làm thêm bên ngoài quá sớm (phụ việc tại các gara ô tô, chạy shipper) dẫn đến mất quỹ thời gian lên lớp và chán học.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Nhận diện khó khăn theo 4 nhóm:</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Khách quan:</w:t>
      </w:r>
      <w:r w:rsidDel="00000000" w:rsidR="00000000" w:rsidRPr="00000000">
        <w:rPr>
          <w:rFonts w:ascii="Times New Roman" w:cs="Times New Roman" w:eastAsia="Times New Roman" w:hAnsi="Times New Roman"/>
          <w:rtl w:val="0"/>
        </w:rPr>
        <w:t xml:space="preserve"> Gia đình gặp khó khăn về kinh tế, áp lực học phí đè nặng, đặc biệt đối với học viên hệ phổ thông học nghề (9+).</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Chủ quan từ sinh viên:</w:t>
      </w:r>
      <w:r w:rsidDel="00000000" w:rsidR="00000000" w:rsidRPr="00000000">
        <w:rPr>
          <w:rFonts w:ascii="Times New Roman" w:cs="Times New Roman" w:eastAsia="Times New Roman" w:hAnsi="Times New Roman"/>
          <w:rtl w:val="0"/>
        </w:rPr>
        <w:t xml:space="preserve"> Sai định hướng nghề nghiệp, ban đầu chọn ngành theo phong trào nhưng khi vào học thực tế thấy nặng nhọc nên tự ý bỏ ngang.</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Từ phía Nhà trường:</w:t>
      </w:r>
      <w:r w:rsidDel="00000000" w:rsidR="00000000" w:rsidRPr="00000000">
        <w:rPr>
          <w:rFonts w:ascii="Times New Roman" w:cs="Times New Roman" w:eastAsia="Times New Roman" w:hAnsi="Times New Roman"/>
          <w:rtl w:val="0"/>
        </w:rPr>
        <w:t xml:space="preserve"> Công tác kết nối với gia đình sinh viên cần sát sao hơn, nhiều trường hợp SĐT phụ huynh cung cấp từ lúc tuyển sinh bị sai lệch hoặc không liên lạc được.</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Từ nội tại Ngành học:</w:t>
      </w:r>
      <w:r w:rsidDel="00000000" w:rsidR="00000000" w:rsidRPr="00000000">
        <w:rPr>
          <w:rFonts w:ascii="Times New Roman" w:cs="Times New Roman" w:eastAsia="Times New Roman" w:hAnsi="Times New Roman"/>
          <w:rtl w:val="0"/>
        </w:rPr>
        <w:t xml:space="preserve"> Khung chương trình học kỳ đầu còn nặng lý thuyết hàn lâm, chưa tạo được sự hứng thú và trải nghiệm thực hành xưởng sớm cho sinh viên khóa mới.</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Đề xuất &amp; Kiến nghị</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Phòng CTSV thắt chặt quy trình kiểm tra thông tin liên lạc của phụ huynh ngay tuần đầu nhập học.</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chương trình đối thoại định kỳ giữa Lãnh đạo khoa/ Ngành, Doanh nghiệp liên kết và sinh viên nhóm nguy cơ để định hướng lại tư tưởng cho các em.</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Văn thư Khoa cần được cử chăm sóc đặc biệt đối với các sinh viên CNOT để giảm tải tỷ lệ có nguy cơ.</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rPr>
        <w:sectPr>
          <w:footerReference r:id="rId7" w:type="default"/>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NGÀNH THIẾT KẾ ĐỒ HỌA (VIG)</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255"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Thống kê Số liệu (Định lượng)</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 Phân tích tỉ lệ thôi học</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Ngành Thiết kế đồ họa (VIG) có tổng cộng 12 sinh viên thôi học trên tổng quy mô 260 sinh viên đầu năm học, đạt tỷ lệ thôi học lũy kế là 4.62%. Đây là chỉ số tương đối an toàn so với mặt bằng chung của khoa. Quy luật biến động chỉ ra rằng tỷ lệ drop-out thường xuất hiện rải rác vào cuối năm thứ nhất hoặc đầu năm thứ hai khi sinh viên phải trang bị máy tính cấu hình cao để phục vụ chuyên ngành.</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theo khóa học và hệ đào tạo, tỷ lệ nguy cơ kỳ cao nhất tập trung ở Khóa K25 Hệ Cao đẳng Chính quy và hệ 9+7 Môn K25. Lượng thôi học thực tế cao nhất nằm ở hệ Cao đẳng Chính quy khóa K24 với 5 sinh viên thôi học (tỷ lệ 8.47%). Ghi nhận đặc biệt ngành có 2 trường hợp bị đình chỉ học tập ở hệ Cao đẳng chính quy K25.</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Biến động số lượng (Đầu vào vs. Hiện tại)</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5.0000000000002"/>
        <w:gridCol w:w="1375"/>
        <w:gridCol w:w="720"/>
        <w:gridCol w:w="1170"/>
        <w:gridCol w:w="1170"/>
        <w:gridCol w:w="1170"/>
        <w:gridCol w:w="1170"/>
        <w:gridCol w:w="1170"/>
        <w:tblGridChange w:id="0">
          <w:tblGrid>
            <w:gridCol w:w="1415.0000000000002"/>
            <w:gridCol w:w="1375"/>
            <w:gridCol w:w="720"/>
            <w:gridCol w:w="1170"/>
            <w:gridCol w:w="1170"/>
            <w:gridCol w:w="1170"/>
            <w:gridCol w:w="1170"/>
            <w:gridCol w:w="1170"/>
          </w:tblGrid>
        </w:tblGridChange>
      </w:tblGrid>
      <w:tr>
        <w:trPr>
          <w:cantSplit w:val="0"/>
          <w:tblHeader w:val="0"/>
        </w:trPr>
        <w:tc>
          <w:tcPr>
            <w:shd w:fill="f2f2f2" w:val="clear"/>
            <w:tcMar>
              <w:top w:w="75.0" w:type="dxa"/>
              <w:left w:w="75.0" w:type="dxa"/>
              <w:bottom w:w="75.0" w:type="dxa"/>
              <w:right w:w="7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Khóa học / Hệ đào tạo</w:t>
            </w:r>
          </w:p>
        </w:tc>
        <w:tc>
          <w:tcPr>
            <w:shd w:fill="f2f2f2" w:val="clear"/>
            <w:tcMar>
              <w:top w:w="75.0" w:type="dxa"/>
              <w:left w:w="75.0" w:type="dxa"/>
              <w:bottom w:w="75.0" w:type="dxa"/>
              <w:right w:w="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Số lượng đầu kỳ (SV)</w:t>
            </w:r>
          </w:p>
        </w:tc>
        <w:tc>
          <w:tcPr>
            <w:shd w:fill="f2f2f2" w:val="clear"/>
            <w:tcMar>
              <w:top w:w="75.0" w:type="dxa"/>
              <w:left w:w="75.0" w:type="dxa"/>
              <w:bottom w:w="75.0" w:type="dxa"/>
              <w:right w:w="7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Đang học thực tế (SV)</w:t>
            </w:r>
          </w:p>
        </w:tc>
        <w:tc>
          <w:tcPr>
            <w:shd w:fill="f2f2f2" w:val="clear"/>
            <w:tcMar>
              <w:top w:w="75.0" w:type="dxa"/>
              <w:left w:w="75.0" w:type="dxa"/>
              <w:bottom w:w="75.0" w:type="dxa"/>
              <w:right w:w="7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Tỷ lệ gắn kết (%)</w:t>
            </w:r>
          </w:p>
        </w:tc>
        <w:tc>
          <w:tcPr>
            <w:shd w:fill="f2f2f2" w:val="clear"/>
            <w:tcMar>
              <w:top w:w="75.0" w:type="dxa"/>
              <w:left w:w="75.0" w:type="dxa"/>
              <w:bottom w:w="75.0" w:type="dxa"/>
              <w:right w:w="7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NHDN lũy kế (SV)</w:t>
            </w:r>
          </w:p>
        </w:tc>
        <w:tc>
          <w:tcPr>
            <w:shd w:fill="f2f2f2" w:val="clear"/>
            <w:tcMar>
              <w:top w:w="75.0" w:type="dxa"/>
              <w:left w:w="75.0" w:type="dxa"/>
              <w:bottom w:w="75.0" w:type="dxa"/>
              <w:right w:w="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Bảo lưu (SV)</w:t>
            </w:r>
          </w:p>
        </w:tc>
        <w:tc>
          <w:tcPr>
            <w:shd w:fill="f2f2f2" w:val="clear"/>
            <w:tcMar>
              <w:top w:w="75.0" w:type="dxa"/>
              <w:left w:w="75.0" w:type="dxa"/>
              <w:bottom w:w="75.0" w:type="dxa"/>
              <w:right w:w="7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Thôi học (SV)</w:t>
            </w:r>
          </w:p>
        </w:tc>
        <w:tc>
          <w:tcPr>
            <w:shd w:fill="f2f2f2" w:val="clear"/>
            <w:tcMar>
              <w:top w:w="75.0" w:type="dxa"/>
              <w:left w:w="75.0" w:type="dxa"/>
              <w:bottom w:w="75.0" w:type="dxa"/>
              <w:right w:w="7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Tỷ lệ "Biến mất"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K25</w:t>
            </w:r>
          </w:p>
        </w:tc>
        <w:tc>
          <w:tcPr>
            <w:shd w:fill="auto" w:val="clear"/>
            <w:tcMar>
              <w:top w:w="75.0" w:type="dxa"/>
              <w:left w:w="75.0" w:type="dxa"/>
              <w:bottom w:w="75.0" w:type="dxa"/>
              <w:right w:w="7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48</w:t>
            </w:r>
          </w:p>
        </w:tc>
        <w:tc>
          <w:tcPr>
            <w:shd w:fill="auto" w:val="clear"/>
            <w:tcMar>
              <w:top w:w="75.0" w:type="dxa"/>
              <w:left w:w="75.0" w:type="dxa"/>
              <w:bottom w:w="75.0" w:type="dxa"/>
              <w:right w:w="7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75.0" w:type="dxa"/>
              <w:left w:w="75.0" w:type="dxa"/>
              <w:bottom w:w="75.0" w:type="dxa"/>
              <w:right w:w="7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shd w:fill="auto" w:val="clear"/>
            <w:tcMar>
              <w:top w:w="75.0" w:type="dxa"/>
              <w:left w:w="75.0" w:type="dxa"/>
              <w:bottom w:w="75.0" w:type="dxa"/>
              <w:right w:w="7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- 9+ 7 Môn</w:t>
            </w:r>
          </w:p>
        </w:tc>
        <w:tc>
          <w:tcPr>
            <w:shd w:fill="auto" w:val="clear"/>
            <w:tcMar>
              <w:top w:w="75.0" w:type="dxa"/>
              <w:left w:w="75.0" w:type="dxa"/>
              <w:bottom w:w="75.0" w:type="dxa"/>
              <w:right w:w="7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75.0" w:type="dxa"/>
              <w:left w:w="75.0" w:type="dxa"/>
              <w:bottom w:w="75.0" w:type="dxa"/>
              <w:right w:w="7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2400.00%</w:t>
            </w:r>
          </w:p>
        </w:tc>
        <w:tc>
          <w:tcPr>
            <w:shd w:fill="auto" w:val="clear"/>
            <w:tcMar>
              <w:top w:w="75.0" w:type="dxa"/>
              <w:left w:w="75.0" w:type="dxa"/>
              <w:bottom w:w="75.0" w:type="dxa"/>
              <w:right w:w="7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+ 4 Môn</w:t>
            </w:r>
          </w:p>
        </w:tc>
        <w:tc>
          <w:tcPr>
            <w:shd w:fill="auto" w:val="clear"/>
            <w:tcMar>
              <w:top w:w="75.0" w:type="dxa"/>
              <w:left w:w="75.0" w:type="dxa"/>
              <w:bottom w:w="75.0" w:type="dxa"/>
              <w:right w:w="7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shd w:fill="auto" w:val="clear"/>
            <w:tcMar>
              <w:top w:w="75.0" w:type="dxa"/>
              <w:left w:w="75.0" w:type="dxa"/>
              <w:bottom w:w="75.0" w:type="dxa"/>
              <w:right w:w="7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shd w:fill="auto" w:val="clear"/>
            <w:tcMar>
              <w:top w:w="75.0" w:type="dxa"/>
              <w:left w:w="75.0" w:type="dxa"/>
              <w:bottom w:w="75.0" w:type="dxa"/>
              <w:right w:w="7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75.0" w:type="dxa"/>
              <w:left w:w="75.0" w:type="dxa"/>
              <w:bottom w:w="75.0" w:type="dxa"/>
              <w:right w:w="7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1100.00%</w:t>
            </w:r>
          </w:p>
        </w:tc>
        <w:tc>
          <w:tcPr>
            <w:shd w:fill="auto" w:val="clear"/>
            <w:tcMar>
              <w:top w:w="75.0" w:type="dxa"/>
              <w:left w:w="75.0" w:type="dxa"/>
              <w:bottom w:w="75.0" w:type="dxa"/>
              <w:right w:w="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75.0" w:type="dxa"/>
              <w:left w:w="75.0" w:type="dxa"/>
              <w:bottom w:w="75.0" w:type="dxa"/>
              <w:right w:w="7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K24</w:t>
            </w:r>
          </w:p>
        </w:tc>
        <w:tc>
          <w:tcPr>
            <w:shd w:fill="auto" w:val="clear"/>
            <w:tcMar>
              <w:top w:w="75.0" w:type="dxa"/>
              <w:left w:w="75.0" w:type="dxa"/>
              <w:bottom w:w="75.0" w:type="dxa"/>
              <w:right w:w="7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w:t>
            </w:r>
          </w:p>
        </w:tc>
        <w:tc>
          <w:tcPr>
            <w:shd w:fill="auto" w:val="clear"/>
            <w:tcMar>
              <w:top w:w="75.0" w:type="dxa"/>
              <w:left w:w="75.0" w:type="dxa"/>
              <w:bottom w:w="75.0" w:type="dxa"/>
              <w:right w:w="7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w:t>
            </w:r>
          </w:p>
        </w:tc>
        <w:tc>
          <w:tcPr>
            <w:shd w:fill="auto" w:val="clear"/>
            <w:tcMar>
              <w:top w:w="75.0" w:type="dxa"/>
              <w:left w:w="75.0" w:type="dxa"/>
              <w:bottom w:w="75.0" w:type="dxa"/>
              <w:right w:w="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74.39%</w:t>
            </w:r>
          </w:p>
        </w:tc>
        <w:tc>
          <w:tcPr>
            <w:shd w:fill="auto" w:val="clear"/>
            <w:tcMar>
              <w:top w:w="75.0" w:type="dxa"/>
              <w:left w:w="75.0" w:type="dxa"/>
              <w:bottom w:w="75.0" w:type="dxa"/>
              <w:right w:w="7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25.61%</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- 9+ 7 Môn</w:t>
            </w:r>
          </w:p>
        </w:tc>
        <w:tc>
          <w:tcPr>
            <w:shd w:fill="auto" w:val="clear"/>
            <w:tcMar>
              <w:top w:w="75.0" w:type="dxa"/>
              <w:left w:w="75.0" w:type="dxa"/>
              <w:bottom w:w="75.0" w:type="dxa"/>
              <w:right w:w="7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75.0" w:type="dxa"/>
              <w:left w:w="75.0" w:type="dxa"/>
              <w:bottom w:w="75.0" w:type="dxa"/>
              <w:right w:w="75.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75.0" w:type="dxa"/>
              <w:left w:w="75.0" w:type="dxa"/>
              <w:bottom w:w="75.0" w:type="dxa"/>
              <w:right w:w="7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w:t>
            </w:r>
          </w:p>
        </w:tc>
        <w:tc>
          <w:tcPr>
            <w:shd w:fill="auto" w:val="clear"/>
            <w:tcMar>
              <w:top w:w="75.0" w:type="dxa"/>
              <w:left w:w="75.0" w:type="dxa"/>
              <w:bottom w:w="75.0" w:type="dxa"/>
              <w:right w:w="75.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+ 4 Môn</w:t>
            </w:r>
          </w:p>
        </w:tc>
        <w:tc>
          <w:tcPr>
            <w:shd w:fill="auto" w:val="clear"/>
            <w:tcMar>
              <w:top w:w="75.0" w:type="dxa"/>
              <w:left w:w="75.0" w:type="dxa"/>
              <w:bottom w:w="75.0" w:type="dxa"/>
              <w:right w:w="7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33.33%</w:t>
            </w:r>
          </w:p>
        </w:tc>
        <w:tc>
          <w:tcPr>
            <w:shd w:fill="auto" w:val="clear"/>
            <w:tcMar>
              <w:top w:w="75.0" w:type="dxa"/>
              <w:left w:w="75.0" w:type="dxa"/>
              <w:bottom w:w="75.0" w:type="dxa"/>
              <w:right w:w="7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66.67%</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shd w:fill="auto" w:val="clear"/>
            <w:tcMar>
              <w:top w:w="75.0" w:type="dxa"/>
              <w:left w:w="75.0" w:type="dxa"/>
              <w:bottom w:w="75.0" w:type="dxa"/>
              <w:right w:w="7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shd w:fill="auto" w:val="clear"/>
            <w:tcMar>
              <w:top w:w="75.0" w:type="dxa"/>
              <w:left w:w="75.0" w:type="dxa"/>
              <w:bottom w:w="75.0" w:type="dxa"/>
              <w:right w:w="7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75.0" w:type="dxa"/>
              <w:left w:w="75.0" w:type="dxa"/>
              <w:bottom w:w="75.0" w:type="dxa"/>
              <w:right w:w="7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72.88%</w:t>
            </w:r>
          </w:p>
        </w:tc>
        <w:tc>
          <w:tcPr>
            <w:shd w:fill="auto" w:val="clear"/>
            <w:tcMar>
              <w:top w:w="75.0" w:type="dxa"/>
              <w:left w:w="75.0" w:type="dxa"/>
              <w:bottom w:w="75.0" w:type="dxa"/>
              <w:right w:w="7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27.12%</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K23</w:t>
            </w:r>
          </w:p>
        </w:tc>
        <w:tc>
          <w:tcPr>
            <w:shd w:fill="auto" w:val="clear"/>
            <w:tcMar>
              <w:top w:w="75.0" w:type="dxa"/>
              <w:left w:w="75.0" w:type="dxa"/>
              <w:bottom w:w="75.0" w:type="dxa"/>
              <w:right w:w="7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124</w:t>
            </w:r>
          </w:p>
        </w:tc>
        <w:tc>
          <w:tcPr>
            <w:shd w:fill="auto" w:val="clear"/>
            <w:tcMar>
              <w:top w:w="75.0" w:type="dxa"/>
              <w:left w:w="75.0" w:type="dxa"/>
              <w:bottom w:w="75.0" w:type="dxa"/>
              <w:right w:w="7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110</w:t>
            </w:r>
          </w:p>
        </w:tc>
        <w:tc>
          <w:tcPr>
            <w:shd w:fill="auto" w:val="clear"/>
            <w:tcMar>
              <w:top w:w="75.0" w:type="dxa"/>
              <w:left w:w="75.0" w:type="dxa"/>
              <w:bottom w:w="75.0" w:type="dxa"/>
              <w:right w:w="7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88.71%</w:t>
            </w:r>
          </w:p>
        </w:tc>
        <w:tc>
          <w:tcPr>
            <w:shd w:fill="auto" w:val="clear"/>
            <w:tcMar>
              <w:top w:w="75.0" w:type="dxa"/>
              <w:left w:w="75.0" w:type="dxa"/>
              <w:bottom w:w="75.0" w:type="dxa"/>
              <w:right w:w="7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11.29%</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- 9+ 7 Môn</w:t>
            </w:r>
          </w:p>
        </w:tc>
        <w:tc>
          <w:tcPr>
            <w:shd w:fill="auto" w:val="clear"/>
            <w:tcMar>
              <w:top w:w="75.0" w:type="dxa"/>
              <w:left w:w="75.0" w:type="dxa"/>
              <w:bottom w:w="75.0" w:type="dxa"/>
              <w:right w:w="7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75.0" w:type="dxa"/>
              <w:left w:w="75.0" w:type="dxa"/>
              <w:bottom w:w="75.0" w:type="dxa"/>
              <w:right w:w="7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75.0" w:type="dxa"/>
              <w:left w:w="75.0" w:type="dxa"/>
              <w:bottom w:w="75.0" w:type="dxa"/>
              <w:right w:w="7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57.89%</w:t>
            </w:r>
          </w:p>
        </w:tc>
        <w:tc>
          <w:tcPr>
            <w:shd w:fill="auto" w:val="clear"/>
            <w:tcMar>
              <w:top w:w="75.0" w:type="dxa"/>
              <w:left w:w="75.0" w:type="dxa"/>
              <w:bottom w:w="75.0" w:type="dxa"/>
              <w:right w:w="7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42.11%</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+ 4 Môn</w:t>
            </w:r>
          </w:p>
        </w:tc>
        <w:tc>
          <w:tcPr>
            <w:shd w:fill="auto" w:val="clear"/>
            <w:tcMar>
              <w:top w:w="75.0" w:type="dxa"/>
              <w:left w:w="75.0" w:type="dxa"/>
              <w:bottom w:w="75.0" w:type="dxa"/>
              <w:right w:w="7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shd w:fill="auto" w:val="clear"/>
            <w:tcMar>
              <w:top w:w="75.0" w:type="dxa"/>
              <w:left w:w="75.0" w:type="dxa"/>
              <w:bottom w:w="75.0" w:type="dxa"/>
              <w:right w:w="7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75.0" w:type="dxa"/>
              <w:left w:w="75.0" w:type="dxa"/>
              <w:bottom w:w="75.0" w:type="dxa"/>
              <w:right w:w="7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shd w:fill="auto" w:val="clear"/>
            <w:tcMar>
              <w:top w:w="75.0" w:type="dxa"/>
              <w:left w:w="75.0" w:type="dxa"/>
              <w:bottom w:w="75.0" w:type="dxa"/>
              <w:right w:w="7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shd w:fill="auto" w:val="clear"/>
            <w:tcMar>
              <w:top w:w="75.0" w:type="dxa"/>
              <w:left w:w="75.0" w:type="dxa"/>
              <w:bottom w:w="75.0" w:type="dxa"/>
              <w:right w:w="7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w:t>
            </w:r>
          </w:p>
        </w:tc>
        <w:tc>
          <w:tcPr>
            <w:shd w:fill="auto" w:val="clear"/>
            <w:tcMar>
              <w:top w:w="75.0" w:type="dxa"/>
              <w:left w:w="75.0" w:type="dxa"/>
              <w:bottom w:w="75.0" w:type="dxa"/>
              <w:right w:w="7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94.29%</w:t>
            </w:r>
          </w:p>
        </w:tc>
        <w:tc>
          <w:tcPr>
            <w:shd w:fill="auto" w:val="clear"/>
            <w:tcMar>
              <w:top w:w="75.0" w:type="dxa"/>
              <w:left w:w="75.0" w:type="dxa"/>
              <w:bottom w:w="75.0" w:type="dxa"/>
              <w:right w:w="7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w:t>
            </w:r>
          </w:p>
        </w:tc>
      </w:tr>
      <w:tr>
        <w:trPr>
          <w:cantSplit w:val="0"/>
          <w:tblHeader w:val="0"/>
        </w:trPr>
        <w:tc>
          <w:tcPr>
            <w:shd w:fill="e6f2ff" w:val="clear"/>
            <w:tcMar>
              <w:top w:w="75.0" w:type="dxa"/>
              <w:left w:w="75.0" w:type="dxa"/>
              <w:bottom w:w="75.0" w:type="dxa"/>
              <w:right w:w="7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TỔNG NGÀNH</w:t>
            </w:r>
          </w:p>
        </w:tc>
        <w:tc>
          <w:tcPr>
            <w:shd w:fill="e6f2ff" w:val="clear"/>
            <w:tcMar>
              <w:top w:w="75.0" w:type="dxa"/>
              <w:left w:w="75.0" w:type="dxa"/>
              <w:bottom w:w="75.0" w:type="dxa"/>
              <w:right w:w="7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260</w:t>
            </w:r>
          </w:p>
        </w:tc>
        <w:tc>
          <w:tcPr>
            <w:shd w:fill="e6f2ff" w:val="clear"/>
            <w:tcMar>
              <w:top w:w="75.0" w:type="dxa"/>
              <w:left w:w="75.0" w:type="dxa"/>
              <w:bottom w:w="75.0" w:type="dxa"/>
              <w:right w:w="7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219</w:t>
            </w:r>
          </w:p>
        </w:tc>
        <w:tc>
          <w:tcPr>
            <w:shd w:fill="e6f2ff" w:val="clear"/>
            <w:tcMar>
              <w:top w:w="75.0" w:type="dxa"/>
              <w:left w:w="75.0" w:type="dxa"/>
              <w:bottom w:w="75.0" w:type="dxa"/>
              <w:right w:w="7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84.23%</w:t>
            </w:r>
          </w:p>
        </w:tc>
        <w:tc>
          <w:tcPr>
            <w:shd w:fill="e6f2ff" w:val="clear"/>
            <w:tcMar>
              <w:top w:w="75.0" w:type="dxa"/>
              <w:left w:w="75.0" w:type="dxa"/>
              <w:bottom w:w="75.0" w:type="dxa"/>
              <w:right w:w="7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27</w:t>
            </w:r>
          </w:p>
        </w:tc>
        <w:tc>
          <w:tcPr>
            <w:shd w:fill="e6f2ff" w:val="clear"/>
            <w:tcMar>
              <w:top w:w="75.0" w:type="dxa"/>
              <w:left w:w="75.0" w:type="dxa"/>
              <w:bottom w:w="75.0" w:type="dxa"/>
              <w:right w:w="7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14</w:t>
            </w:r>
          </w:p>
        </w:tc>
        <w:tc>
          <w:tcPr>
            <w:shd w:fill="e6f2ff" w:val="clear"/>
            <w:tcMar>
              <w:top w:w="75.0" w:type="dxa"/>
              <w:left w:w="75.0" w:type="dxa"/>
              <w:bottom w:w="75.0" w:type="dxa"/>
              <w:right w:w="7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12</w:t>
            </w:r>
          </w:p>
        </w:tc>
        <w:tc>
          <w:tcPr>
            <w:shd w:fill="e6f2ff" w:val="clear"/>
            <w:tcMar>
              <w:top w:w="75.0" w:type="dxa"/>
              <w:left w:w="75.0" w:type="dxa"/>
              <w:bottom w:w="75.0" w:type="dxa"/>
              <w:right w:w="7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15.77%</w:t>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55"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xét:</w:t>
      </w:r>
      <w:r w:rsidDel="00000000" w:rsidR="00000000" w:rsidRPr="00000000">
        <w:rPr>
          <w:rFonts w:ascii="Times New Roman" w:cs="Times New Roman" w:eastAsia="Times New Roman" w:hAnsi="Times New Roman"/>
          <w:rtl w:val="0"/>
        </w:rPr>
        <w:t xml:space="preserve"> Tỷ lệ sinh viên gắn kết học tập của ngành Đồ họa rất tốt, đạt tới 84.23%. Tỷ lệ sinh viên "biến mất" là 15.77%. Khóa cần báo động của ngành là </w:t>
      </w:r>
      <w:r w:rsidDel="00000000" w:rsidR="00000000" w:rsidRPr="00000000">
        <w:rPr>
          <w:rFonts w:ascii="Times New Roman" w:cs="Times New Roman" w:eastAsia="Times New Roman" w:hAnsi="Times New Roman"/>
          <w:b w:val="1"/>
          <w:bCs w:val="1"/>
          <w:rtl w:val="0"/>
        </w:rPr>
        <w:t xml:space="preserve">K25 Cao đẳng Chính quy</w:t>
      </w:r>
      <w:r w:rsidDel="00000000" w:rsidR="00000000" w:rsidRPr="00000000">
        <w:rPr>
          <w:rFonts w:ascii="Times New Roman" w:cs="Times New Roman" w:eastAsia="Times New Roman" w:hAnsi="Times New Roman"/>
          <w:rtl w:val="0"/>
        </w:rPr>
        <w:t xml:space="preserve"> khi ghi nhận tỷ lệ nguy cơ kỳ ở mức 850.00% cùng với 9 sinh viên đang nghỉ học dài ngày.</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Báo cáo chuyên sâu về nhóm "Sinh viên nghỉ học dài ngày"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sinh viên nghỉ học dài ngày lũy kế của ngành là 27 sinh viên (tỷ lệ 10.38%). Tình trạng phân bổ:</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Cao đẳng chính quy K25: 9 sinh viên.</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Cao đẳng chính quy K24: 8 sinh viên.</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9+7 Môn K25: 4 sinh viên.</w:t>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hệ còn lại: 6 sinh viên.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Phương án xử lý:</w:t>
      </w:r>
      <w:r w:rsidDel="00000000" w:rsidR="00000000" w:rsidRPr="00000000">
        <w:rPr>
          <w:rFonts w:ascii="Times New Roman" w:cs="Times New Roman" w:eastAsia="Times New Roman" w:hAnsi="Times New Roman"/>
          <w:rtl w:val="0"/>
        </w:rPr>
        <w:t xml:space="preserve"> Phối hợp giữa GVCN với văn thư Khoa rà soát liên hệ để nhằm giữ chân hoặc tư vấn định hướng lại vì đây là thời điểm nhạy cảm, sinh viên dễ mất phương hướng học tập sau khi nhập học.</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Phân tích Nguyên nhân &amp; Thực trạng Quản lý (Định tính)</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1. Mô hình quản lý hiện tại</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Quản lý chặt thông qua các đồ án môn học. Sinh viên không nộp bài giai đoạn sẽ yêu cầu GV bộ môn thông tin tới GVCN liên hệ ngay để nhắc nhở.</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2. Phân tích nguyên nhân gốc rễ</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Sinh viên nghỉ học chủ yếu do nhận thấy bản thân thiếu năng khiếu mỹ thuật, không chạy kịp tiến độ deadline của các đồ án liên tục, và bị đình chỉ học vì vi phạm pháp luật.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3. Nhận diện khó khăn theo 4 nhóm</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Khách quan:</w:t>
      </w:r>
      <w:r w:rsidDel="00000000" w:rsidR="00000000" w:rsidRPr="00000000">
        <w:rPr>
          <w:rFonts w:ascii="Times New Roman" w:cs="Times New Roman" w:eastAsia="Times New Roman" w:hAnsi="Times New Roman"/>
          <w:rtl w:val="0"/>
        </w:rPr>
        <w:t xml:space="preserve"> Thị trường công nghệ biến động, hệ thống phần mềm Adobe hiện nay đang gặp vấn đề bản quyền, gây khó khăn cho sinh viên khi học tập.</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Chủ quan từ sinh viên:</w:t>
      </w:r>
      <w:r w:rsidDel="00000000" w:rsidR="00000000" w:rsidRPr="00000000">
        <w:rPr>
          <w:rFonts w:ascii="Times New Roman" w:cs="Times New Roman" w:eastAsia="Times New Roman" w:hAnsi="Times New Roman"/>
          <w:rtl w:val="0"/>
        </w:rPr>
        <w:t xml:space="preserve"> Áp lực từ việc thiếu năng khiếu, cạn kiệt ý tưởng sáng tạo dẫn đến stress, chán học; một số sinh viên nhận các job freelance bên ngoài sớm rồi bỏ bê việc học chính khóa.</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Từ nội tại Ngành học:</w:t>
      </w:r>
      <w:r w:rsidDel="00000000" w:rsidR="00000000" w:rsidRPr="00000000">
        <w:rPr>
          <w:rFonts w:ascii="Times New Roman" w:cs="Times New Roman" w:eastAsia="Times New Roman" w:hAnsi="Times New Roman"/>
          <w:rtl w:val="0"/>
        </w:rPr>
        <w:t xml:space="preserve"> Số lượng nhân sự mỏng dẫn tới khó quản lý hết sinh viên, có trường hợp GVCN chưa thực hiện trọn vẹn nghĩa vụ chăm sóc sinh viên dù đã được quản lý nhiều lần nhắc nhở thực hiện (hiện đã dừng hợp đồng lao động).</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Đề xuất &amp; Kiến nghị</w:t>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Nhà trường nghiên cứu mua bản quyền các phần mềm Adobe để phục vụ học tập cho sinh viên, vừa đáp ứng tuyển sinh vừa tránh vi phạm quy định pháp luật.</w:t>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 Nhân sự hỗ trợ tuyển mới sớm giảng viên cơ hữu mới để giảm bớt gánh nặng cho đội ngũ Ngành hiện tại.</w:t>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Về phía Khoa/Ngành thường xuyên tổ chức họp lớp giữa cấp quản lý, GVCN và từng lớp nhằm tạo sự gắn kết, kịp thời xử lý các trường hợp liên quan.</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NGÀNH ỨNG DỤNG PHẦN MỀM (VIS)</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255"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Thống kê Số liệu (Định lượng)</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Phân tích tỉ lệ thôi học</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Ngành Ứng dụng phần mềm (VIS) ghi nhận tổng cộng </w:t>
      </w:r>
      <w:r w:rsidDel="00000000" w:rsidR="00000000" w:rsidRPr="00000000">
        <w:rPr>
          <w:rFonts w:ascii="Times New Roman" w:cs="Times New Roman" w:eastAsia="Times New Roman" w:hAnsi="Times New Roman"/>
          <w:highlight w:val="yellow"/>
          <w:rtl w:val="0"/>
        </w:rPr>
        <w:t xml:space="preserve">23</w:t>
      </w:r>
      <w:r w:rsidDel="00000000" w:rsidR="00000000" w:rsidRPr="00000000">
        <w:rPr>
          <w:rFonts w:ascii="Times New Roman" w:cs="Times New Roman" w:eastAsia="Times New Roman" w:hAnsi="Times New Roman"/>
          <w:rtl w:val="0"/>
        </w:rPr>
        <w:t xml:space="preserve"> sinh viên thôi học trên tổng quy mô </w:t>
      </w:r>
      <w:r w:rsidDel="00000000" w:rsidR="00000000" w:rsidRPr="00000000">
        <w:rPr>
          <w:rFonts w:ascii="Times New Roman" w:cs="Times New Roman" w:eastAsia="Times New Roman" w:hAnsi="Times New Roman"/>
          <w:highlight w:val="yellow"/>
          <w:rtl w:val="0"/>
        </w:rPr>
        <w:t xml:space="preserve">249</w:t>
      </w:r>
      <w:r w:rsidDel="00000000" w:rsidR="00000000" w:rsidRPr="00000000">
        <w:rPr>
          <w:rFonts w:ascii="Times New Roman" w:cs="Times New Roman" w:eastAsia="Times New Roman" w:hAnsi="Times New Roman"/>
          <w:rtl w:val="0"/>
        </w:rPr>
        <w:t xml:space="preserve"> sinh viên đầu năm học, đạt tỷ lệ thôi học lũy kế toàn ngành là </w:t>
      </w:r>
      <w:r w:rsidDel="00000000" w:rsidR="00000000" w:rsidRPr="00000000">
        <w:rPr>
          <w:rFonts w:ascii="Times New Roman" w:cs="Times New Roman" w:eastAsia="Times New Roman" w:hAnsi="Times New Roman"/>
          <w:highlight w:val="yellow"/>
          <w:rtl w:val="0"/>
        </w:rPr>
        <w:t xml:space="preserve">9.24</w:t>
      </w:r>
      <w:r w:rsidDel="00000000" w:rsidR="00000000" w:rsidRPr="00000000">
        <w:rPr>
          <w:rFonts w:ascii="Times New Roman" w:cs="Times New Roman" w:eastAsia="Times New Roman" w:hAnsi="Times New Roman"/>
          <w:rtl w:val="0"/>
        </w:rPr>
        <w:t xml:space="preserve">%. Tiến trình rủi ro cho thấy tỷ lệ drop-out đạt đỉnh điểm rõ rệt ở năm học thứ 2 (Khóa K24), thời điểm sinh viên bắt đầu tiếp cận các môn cấu trúc dữ liệu, lập trình hướng đối tượng và cơ sở dữ liệu nâng cao.</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theo khóa học và hệ đào tạo, hệ Cao đẳng chính quy K25 là điểm nóng với tỷ lệ tổng nguy cơ năm học chạm mức báo động </w:t>
      </w:r>
      <w:r w:rsidDel="00000000" w:rsidR="00000000" w:rsidRPr="00000000">
        <w:rPr>
          <w:rFonts w:ascii="Times New Roman" w:cs="Times New Roman" w:eastAsia="Times New Roman" w:hAnsi="Times New Roman"/>
          <w:highlight w:val="yellow"/>
          <w:rtl w:val="0"/>
        </w:rPr>
        <w:t xml:space="preserve">1500.00%</w:t>
      </w:r>
      <w:r w:rsidDel="00000000" w:rsidR="00000000" w:rsidRPr="00000000">
        <w:rPr>
          <w:rFonts w:ascii="Times New Roman" w:cs="Times New Roman" w:eastAsia="Times New Roman" w:hAnsi="Times New Roman"/>
          <w:rtl w:val="0"/>
        </w:rPr>
        <w:t xml:space="preserve"> và số lượng thôi học là</w:t>
      </w:r>
      <w:r w:rsidDel="00000000" w:rsidR="00000000" w:rsidRPr="00000000">
        <w:rPr>
          <w:rFonts w:ascii="Times New Roman" w:cs="Times New Roman" w:eastAsia="Times New Roman" w:hAnsi="Times New Roman"/>
          <w:highlight w:val="yellow"/>
          <w:rtl w:val="0"/>
        </w:rPr>
        <w:t xml:space="preserve"> 12</w:t>
      </w:r>
      <w:r w:rsidDel="00000000" w:rsidR="00000000" w:rsidRPr="00000000">
        <w:rPr>
          <w:rFonts w:ascii="Times New Roman" w:cs="Times New Roman" w:eastAsia="Times New Roman" w:hAnsi="Times New Roman"/>
          <w:rtl w:val="0"/>
        </w:rPr>
        <w:t xml:space="preserve"> sinh viên (chiếm hơn một nửa tổng số thôi học toàn ngành). Hệ 9+4 Môn K24 cũng ở mức cảnh báo với tỷ lệ thôi học </w:t>
      </w:r>
      <w:r w:rsidDel="00000000" w:rsidR="00000000" w:rsidRPr="00000000">
        <w:rPr>
          <w:rFonts w:ascii="Times New Roman" w:cs="Times New Roman" w:eastAsia="Times New Roman" w:hAnsi="Times New Roman"/>
          <w:highlight w:val="yellow"/>
          <w:rtl w:val="0"/>
        </w:rPr>
        <w:t xml:space="preserve">33.33% (2/6 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Biến động số lượng (Đầu vào vs hiện tại)</w:t>
      </w:r>
    </w:p>
    <w:p w:rsidR="00000000" w:rsidDel="00000000" w:rsidP="00000000" w:rsidRDefault="00000000" w:rsidRPr="00000000" w14:paraId="0000012D">
      <w:pPr>
        <w:rPr/>
      </w:pPr>
      <w:r w:rsidDel="00000000" w:rsidR="00000000" w:rsidRPr="00000000">
        <w:rPr>
          <w:rtl w:val="0"/>
        </w:rPr>
      </w:r>
    </w:p>
    <w:tbl>
      <w:tblPr>
        <w:tblStyle w:val="Table4"/>
        <w:tblW w:w="937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200"/>
        <w:gridCol w:w="1155"/>
        <w:gridCol w:w="1020"/>
        <w:gridCol w:w="975"/>
        <w:gridCol w:w="975"/>
        <w:gridCol w:w="975"/>
        <w:gridCol w:w="1245"/>
        <w:tblGridChange w:id="0">
          <w:tblGrid>
            <w:gridCol w:w="1830"/>
            <w:gridCol w:w="1200"/>
            <w:gridCol w:w="1155"/>
            <w:gridCol w:w="1020"/>
            <w:gridCol w:w="975"/>
            <w:gridCol w:w="975"/>
            <w:gridCol w:w="975"/>
            <w:gridCol w:w="1245"/>
          </w:tblGrid>
        </w:tblGridChange>
      </w:tblGrid>
      <w:tr>
        <w:trPr>
          <w:cantSplit w:val="0"/>
          <w:trHeight w:val="12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Khóa học / Hệ đào tạo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lượng đầu kỳ (SV)</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Đang học thực tế (SV)</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 gắn kết (%)</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NHDN lũy kế (SV)</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Bảo lưu (SV)</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Thôi học (SV)</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 "Biến mất" (%)</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61,82%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38,18%</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7 Môn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84,62%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15,38%</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- 9+ 4 Môn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58,62%</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0,7284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29,63%</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7 Môn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23,26%</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- 9+ 4 Môn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0,6563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34,38%</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K23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103,85%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4,81%</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- 9+7 Môn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0,9783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2,17</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86">
            <w:pPr>
              <w:jc w:val="center"/>
              <w:rPr>
                <w:rFonts w:ascii="Times New Roman" w:cs="Times New Roman" w:eastAsia="Times New Roman" w:hAnsi="Times New Roman"/>
              </w:rPr>
            </w:pPr>
            <w:r w:rsidDel="00000000" w:rsidR="00000000" w:rsidRPr="00000000">
              <w:rPr>
                <w:rtl w:val="0"/>
              </w:rPr>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- 9+ 4 Môn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Cao đẳng Chính quy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108,77% ⚠️</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7,02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97">
            <w:pPr>
              <w:jc w:val="center"/>
              <w:rPr>
                <w:rFonts w:ascii="Times New Roman" w:cs="Times New Roman" w:eastAsia="Times New Roman" w:hAnsi="Times New Roman"/>
              </w:rPr>
            </w:pPr>
            <w:r w:rsidDel="00000000" w:rsidR="00000000" w:rsidRPr="00000000">
              <w:rPr>
                <w:rtl w:val="0"/>
              </w:rPr>
            </w:r>
          </w:p>
        </w:tc>
      </w:tr>
      <w:tr>
        <w:trPr>
          <w:cantSplit w:val="0"/>
          <w:trHeight w:val="9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TOÀN NGÀNH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0,8375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20,83%</w:t>
            </w:r>
          </w:p>
          <w:p w:rsidR="00000000" w:rsidDel="00000000" w:rsidP="00000000" w:rsidRDefault="00000000" w:rsidRPr="00000000" w14:paraId="000001A0">
            <w:pPr>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55"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Xếp hạng Top nguy cơ thôi học: </w:t>
      </w:r>
    </w:p>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Top Khóa có số lượng thôi học lớn nhất: </w:t>
      </w:r>
      <w:r w:rsidDel="00000000" w:rsidR="00000000" w:rsidRPr="00000000">
        <w:rPr>
          <w:rFonts w:ascii="Times New Roman" w:cs="Times New Roman" w:eastAsia="Times New Roman" w:hAnsi="Times New Roman"/>
          <w:sz w:val="24"/>
          <w:szCs w:val="24"/>
          <w:rtl w:val="0"/>
        </w:rPr>
        <w:t xml:space="preserve">Khóa 2025 với 58,68% và tỉ lệ sinh viên chính quy thôi học nhiều nhất</w:t>
      </w:r>
    </w:p>
    <w:p w:rsidR="00000000" w:rsidDel="00000000" w:rsidP="00000000" w:rsidRDefault="00000000" w:rsidRPr="00000000" w14:paraId="000001A4">
      <w:pPr>
        <w:numPr>
          <w:ilvl w:val="0"/>
          <w:numId w:val="18"/>
        </w:numPr>
        <w:pBdr>
          <w:top w:space="0" w:sz="0" w:val="nil"/>
          <w:left w:space="0" w:sz="0" w:val="nil"/>
          <w:bottom w:space="0" w:sz="0" w:val="nil"/>
          <w:right w:space="0" w:sz="0" w:val="nil"/>
          <w:between w:space="0" w:sz="0" w:val="nil"/>
        </w:pBdr>
        <w:shd w:fill="auto" w:val="clear"/>
        <w:spacing w:after="255"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Top Hệ có số lượng thôi học lớn nhất: Hệ cao đẳng chính quy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55"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 Báo cáo chuyên sâu về nhóm "Sinh viên nghỉ học dài ngày</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Ngành UDPM ghi nhận 20 sinh viên đang trong tình trạng nghỉ học dài ngày (tỷ lệ 8.3%). Phân bổ chi tiết:</w:t>
      </w:r>
    </w:p>
    <w:p w:rsidR="00000000" w:rsidDel="00000000" w:rsidP="00000000" w:rsidRDefault="00000000" w:rsidRPr="00000000" w14:paraId="000001A7">
      <w:pPr>
        <w:numPr>
          <w:ilvl w:val="0"/>
          <w:numId w:val="15"/>
        </w:numPr>
        <w:pBdr>
          <w:top w:space="0" w:sz="0" w:val="nil"/>
          <w:left w:space="0" w:sz="0" w:val="nil"/>
          <w:bottom w:space="0" w:sz="0" w:val="nil"/>
          <w:right w:space="0" w:sz="0" w:val="nil"/>
          <w:between w:space="0" w:sz="0" w:val="nil"/>
        </w:pBdr>
        <w:shd w:fill="auto" w:val="clear"/>
        <w:spacing w:line="36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Cao đẳng chính quy K24: 3 sinh viên.</w:t>
      </w:r>
    </w:p>
    <w:p w:rsidR="00000000" w:rsidDel="00000000" w:rsidP="00000000" w:rsidRDefault="00000000" w:rsidRPr="00000000" w14:paraId="000001A8">
      <w:pPr>
        <w:numPr>
          <w:ilvl w:val="0"/>
          <w:numId w:val="15"/>
        </w:numPr>
        <w:pBdr>
          <w:top w:space="0" w:sz="0" w:val="nil"/>
          <w:left w:space="0" w:sz="0" w:val="nil"/>
          <w:bottom w:space="0" w:sz="0" w:val="nil"/>
          <w:right w:space="0" w:sz="0" w:val="nil"/>
          <w:between w:space="0" w:sz="0" w:val="nil"/>
        </w:pBdr>
        <w:shd w:fill="auto" w:val="clear"/>
        <w:spacing w:line="36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Cao đẳng chính quy K25: 3 sinh viên.</w:t>
      </w:r>
    </w:p>
    <w:p w:rsidR="00000000" w:rsidDel="00000000" w:rsidP="00000000" w:rsidRDefault="00000000" w:rsidRPr="00000000" w14:paraId="000001A9">
      <w:pPr>
        <w:numPr>
          <w:ilvl w:val="0"/>
          <w:numId w:val="15"/>
        </w:numPr>
        <w:pBdr>
          <w:top w:space="0" w:sz="0" w:val="nil"/>
          <w:left w:space="0" w:sz="0" w:val="nil"/>
          <w:bottom w:space="0" w:sz="0" w:val="nil"/>
          <w:right w:space="0" w:sz="0" w:val="nil"/>
          <w:between w:space="0" w:sz="0" w:val="nil"/>
        </w:pBdr>
        <w:shd w:fill="auto" w:val="clear"/>
        <w:spacing w:line="36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Cao đẳng chính quy K23: 3 sinh viên.</w:t>
      </w:r>
    </w:p>
    <w:p w:rsidR="00000000" w:rsidDel="00000000" w:rsidP="00000000" w:rsidRDefault="00000000" w:rsidRPr="00000000" w14:paraId="000001AA">
      <w:pPr>
        <w:numPr>
          <w:ilvl w:val="0"/>
          <w:numId w:val="15"/>
        </w:numPr>
        <w:pBdr>
          <w:top w:space="0" w:sz="0" w:val="nil"/>
          <w:left w:space="0" w:sz="0" w:val="nil"/>
          <w:bottom w:space="0" w:sz="0" w:val="nil"/>
          <w:right w:space="0" w:sz="0" w:val="nil"/>
          <w:between w:space="0" w:sz="0" w:val="nil"/>
        </w:pBdr>
        <w:shd w:fill="auto" w:val="clear"/>
        <w:spacing w:line="360"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hệ học khác: 11 sinh viên (Cao nhất 9+7 khóa K24 với 6 sinh viên nghỉ học dài ngày)</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tích nguyên nhân: </w:t>
      </w:r>
    </w:p>
    <w:p w:rsidR="00000000" w:rsidDel="00000000" w:rsidP="00000000" w:rsidRDefault="00000000" w:rsidRPr="00000000" w14:paraId="000001AC">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biệt ở các lớp 9+ hầu hết các sinh viên rất ít chú tâm vào học tập và chưa có tinh thần định hướng rõ nghề nghiệp cho tương lai, Ngành và phụ huynh đã phối hợp nhắc nhở và đốc thúc vẫn không có hiệu quả, nhiều sinh viên chỉ tập trung thi đỗ THPT không quan tâm học nghề.</w:t>
      </w:r>
    </w:p>
    <w:p w:rsidR="00000000" w:rsidDel="00000000" w:rsidP="00000000" w:rsidRDefault="00000000" w:rsidRPr="00000000" w14:paraId="000001AD">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Nguyên nhân chính sinh viên đi làm thêm trong quá trình học dẫn đến ảnh hưởng sức khỏe và không cân đối được thời gian đi học, </w:t>
      </w:r>
    </w:p>
    <w:p w:rsidR="00000000" w:rsidDel="00000000" w:rsidP="00000000" w:rsidRDefault="00000000" w:rsidRPr="00000000" w14:paraId="000001AE">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Thời gian thu học phí liên tục dẫn đến việc ảnh hưởng tài chính gia đình, sinh viên đi làm thêm và muốn giảm gánh nặng cho gia đình,</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Phương án xử lý:</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0">
      <w:pPr>
        <w:numPr>
          <w:ilvl w:val="0"/>
          <w:numId w:val="8"/>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Tổ chức các buổi phụ đạo chuyên đề kỹ năng lập trình do giảng viên UDPM phụ trách để tăng cường kiến thức cơ bản song song học chuyên ngành, giảm tải khối lượng kiến thức với năng lực sinh viên thực tế lớp học.</w:t>
      </w:r>
    </w:p>
    <w:p w:rsidR="00000000" w:rsidDel="00000000" w:rsidP="00000000" w:rsidRDefault="00000000" w:rsidRPr="00000000" w14:paraId="000001B1">
      <w:pPr>
        <w:numPr>
          <w:ilvl w:val="0"/>
          <w:numId w:val="8"/>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Giáo viên chủ nhiệm sẽ đưa ra nhiều phương án hỗ trợ sinh viên trong việc hoàn thiện học phí theo quy định nhà Trường phù hợp với đặc thù từng hoàn cảnh.</w:t>
      </w:r>
    </w:p>
    <w:p w:rsidR="00000000" w:rsidDel="00000000" w:rsidP="00000000" w:rsidRDefault="00000000" w:rsidRPr="00000000" w14:paraId="000001B2">
      <w:pPr>
        <w:numPr>
          <w:ilvl w:val="0"/>
          <w:numId w:val="8"/>
        </w:numPr>
        <w:pBdr>
          <w:top w:space="0" w:sz="0" w:val="nil"/>
          <w:left w:space="0" w:sz="0" w:val="nil"/>
          <w:bottom w:space="0" w:sz="0" w:val="nil"/>
          <w:right w:space="0" w:sz="0" w:val="nil"/>
          <w:between w:space="0" w:sz="0" w:val="nil"/>
        </w:pBdr>
        <w:shd w:fill="auto" w:val="clear"/>
        <w:spacing w:after="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Ngành cần xin cơ chế từ Nhà trường về việc bắt buộc phải học song song văn hóa và nghề mới đủ yêu cầu hòa thành chương trình THPT</w:t>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Phân tích nguyên nhân &amp; Thực trạng quản lý (Định tính)</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1. Mô hình quản lý hiện tại: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5">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tiến độ học tập qua hệ thống hanoi.vietmycollege.com của trường. Giảng viên bộ môn cập nhật chuyên cần hàng tuần. </w:t>
      </w:r>
    </w:p>
    <w:p w:rsidR="00000000" w:rsidDel="00000000" w:rsidP="00000000" w:rsidRDefault="00000000" w:rsidRPr="00000000" w14:paraId="000001B6">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Giáo viên chủ nhiệm thông qua giáo viên bộ môn theo dõi tình hình học tập của sinh viên, các trường hợp báo động sẽ được liên hệ sớm về gia đình để tác động.</w:t>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Thường xuyên thông tin phụ huynh cùng Ngành quản lý sinh viên được kịp thời hơn</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2. Phân tích nguyên nhân gốc rễ:</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9">
      <w:pPr>
        <w:numPr>
          <w:ilvl w:val="0"/>
          <w:numId w:val="17"/>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Sinh viên năm nhất nhập học nhiều trường hợp phục vụ cho việc xin giấy tạm hoãn nghĩa vụ quân sự và không tham gia học buổi nào (chiếm 70% số lượng sinh viên thôi học khóa 2025)</w:t>
      </w:r>
    </w:p>
    <w:p w:rsidR="00000000" w:rsidDel="00000000" w:rsidP="00000000" w:rsidRDefault="00000000" w:rsidRPr="00000000" w14:paraId="000001BA">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Ngành CNTT đòi hỏi tư duy logic cực cao, sinh viên bị "gãy" kiến thức ở các môn cơ sở ngành dẫn đến mất động lực học tập. </w:t>
      </w:r>
    </w:p>
    <w:p w:rsidR="00000000" w:rsidDel="00000000" w:rsidP="00000000" w:rsidRDefault="00000000" w:rsidRPr="00000000" w14:paraId="000001BB">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Một một số sinh viên nhận việc làm part-time sớm, thời gian không đảm bảo dẫn đến việc thường xuyên đi học muộn và nghỉ học dài ngày dẫn đến mất kiến thức không muốn đi học.</w:t>
      </w:r>
    </w:p>
    <w:p w:rsidR="00000000" w:rsidDel="00000000" w:rsidP="00000000" w:rsidRDefault="00000000" w:rsidRPr="00000000" w14:paraId="000001BC">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Sinh viên nhập học muộn và bắt đầu với môn chuyên ngành khiến lượng kiến thức bị quá tải, mặc dù Ngành đã tổ chức bổ trợ và kèm riêng tuy nhiên tinh thần tự học kém dẫn đến việc không củng cố được tinh thần học tập</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360" w:lineRule="auto"/>
        <w:ind w:left="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 Nhận diện khó khăn theo 4 nhóm:</w:t>
      </w:r>
    </w:p>
    <w:p w:rsidR="00000000" w:rsidDel="00000000" w:rsidP="00000000" w:rsidRDefault="00000000" w:rsidRPr="00000000" w14:paraId="000001BE">
      <w:pPr>
        <w:numPr>
          <w:ilvl w:val="0"/>
          <w:numId w:val="16"/>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Khách quan:</w:t>
      </w:r>
      <w:r w:rsidDel="00000000" w:rsidR="00000000" w:rsidRPr="00000000">
        <w:rPr>
          <w:rFonts w:ascii="Times New Roman" w:cs="Times New Roman" w:eastAsia="Times New Roman" w:hAnsi="Times New Roman"/>
          <w:rtl w:val="0"/>
        </w:rPr>
        <w:t xml:space="preserve"> Sự dịch chuyển quá nhanh của xu hướng công nghệ (AI, Low-code) khiến một bộ phận sinh viên hoang mang về cơ hội việc làm tương lai. Hiện nay nếu chỉ biết sơ bộ về lập trình cơ bản rất dễ bị thay thế.</w:t>
      </w:r>
    </w:p>
    <w:p w:rsidR="00000000" w:rsidDel="00000000" w:rsidP="00000000" w:rsidRDefault="00000000" w:rsidRPr="00000000" w14:paraId="000001BF">
      <w:pPr>
        <w:numPr>
          <w:ilvl w:val="0"/>
          <w:numId w:val="16"/>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Chủ quan từ sinh viên:</w:t>
      </w:r>
      <w:r w:rsidDel="00000000" w:rsidR="00000000" w:rsidRPr="00000000">
        <w:rPr>
          <w:rFonts w:ascii="Times New Roman" w:cs="Times New Roman" w:eastAsia="Times New Roman" w:hAnsi="Times New Roman"/>
          <w:rtl w:val="0"/>
        </w:rPr>
        <w:t xml:space="preserve"> Sinh viên không có tinh thần tự học, lười thực hành coding, mất gốc tư duy lập trình căn bản, tâm lý ngại khó khi đối mặt với lỗi bug hệ thống. Đặc biệt ở các lớp 9+ hầu hết các sinh viên rất ít chú tâm vào học tập và chưa có tinh thần định hướng rõ nghề nghiệp cho tương lai</w:t>
      </w:r>
    </w:p>
    <w:p w:rsidR="00000000" w:rsidDel="00000000" w:rsidP="00000000" w:rsidRDefault="00000000" w:rsidRPr="00000000" w14:paraId="000001C0">
      <w:pPr>
        <w:numPr>
          <w:ilvl w:val="0"/>
          <w:numId w:val="16"/>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Từ phía Nhà trường:</w:t>
      </w:r>
      <w:r w:rsidDel="00000000" w:rsidR="00000000" w:rsidRPr="00000000">
        <w:rPr>
          <w:rFonts w:ascii="Times New Roman" w:cs="Times New Roman" w:eastAsia="Times New Roman" w:hAnsi="Times New Roman"/>
          <w:rtl w:val="0"/>
        </w:rPr>
        <w:t xml:space="preserve"> Các hoạt động kết nối ngày hội việc làm (Job Fair) dành riêng cho khối ngành Phần mềm chưa thực sự đa dạng cho sinh viên năm 1 và năm 2.</w:t>
      </w:r>
    </w:p>
    <w:p w:rsidR="00000000" w:rsidDel="00000000" w:rsidP="00000000" w:rsidRDefault="00000000" w:rsidRPr="00000000" w14:paraId="000001C1">
      <w:pPr>
        <w:numPr>
          <w:ilvl w:val="0"/>
          <w:numId w:val="16"/>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Từ nội tại Ngành học:</w:t>
      </w:r>
      <w:r w:rsidDel="00000000" w:rsidR="00000000" w:rsidRPr="00000000">
        <w:rPr>
          <w:rFonts w:ascii="Times New Roman" w:cs="Times New Roman" w:eastAsia="Times New Roman" w:hAnsi="Times New Roman"/>
          <w:rtl w:val="0"/>
        </w:rPr>
        <w:t xml:space="preserve"> Đặc thù ngành phương pháp giảng dạy đôi khi còn khô khan</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 Đề xuất &amp; Kiến nghị</w:t>
      </w:r>
      <w:r w:rsidDel="00000000" w:rsidR="00000000" w:rsidRPr="00000000">
        <w:rPr>
          <w:rtl w:val="0"/>
        </w:rPr>
      </w:r>
    </w:p>
    <w:p w:rsidR="00000000" w:rsidDel="00000000" w:rsidP="00000000" w:rsidRDefault="00000000" w:rsidRPr="00000000" w14:paraId="000001C3">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Về phía Khoa/ ngành, sẽ tăng cường tổ chức họp lớp để nắm thông tin sinh viên, thắt chặt tính gắn bó giữa thầy cô và học trò.</w:t>
      </w:r>
    </w:p>
    <w:p w:rsidR="00000000" w:rsidDel="00000000" w:rsidP="00000000" w:rsidRDefault="00000000" w:rsidRPr="00000000" w14:paraId="000001C4">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Tăng cường tổ chức các hoạt động gắn kết sinh viên giữa các khóa học để sinh viên có trải nghiệm</w:t>
      </w:r>
    </w:p>
    <w:p w:rsidR="00000000" w:rsidDel="00000000" w:rsidP="00000000" w:rsidRDefault="00000000" w:rsidRPr="00000000" w14:paraId="000001C5">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Đề xuất Ban Tuyển dụng cần cấp thiết tuyển dụng vị trí Trưởng ngành UDPM để chịu trách nhiệm chuyên môn về phát triển chương trình cũng như tìm kiếm các hoạt động chuyên môn để cọ xát cho sinh viên.</w:t>
      </w:r>
    </w:p>
    <w:p w:rsidR="00000000" w:rsidDel="00000000" w:rsidP="00000000" w:rsidRDefault="00000000" w:rsidRPr="00000000" w14:paraId="000001C6">
      <w:pPr>
        <w:numPr>
          <w:ilvl w:val="0"/>
          <w:numId w:val="5"/>
        </w:numPr>
        <w:spacing w:after="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Tổ chức thêm các buổi phụ đạo chuyên đề kỹ năng lập trình do giảng viên cơ hữu UDPM phụ trách nhằm củng cố kiến thức để sinh viên có thể tự tin học các môn chuyên ngành</w:t>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