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17% информации о состоянии лесов достоверно: По состоянию на 1 января 2024 года актуальными являются сведения о 17 % земель лесного фонда.</w:t>
      </w:r>
      <w:r>
        <w:t xml:space="preserve"> </w:t>
      </w:r>
      <w:r>
        <w:t xml:space="preserve">В Российской Федерации государственная инвентаризация лесов (далее – ГИЛ) включает в себя лесоучетные мероприятия в части оценки запасов, площади, пород, возраста, иных характеристик леса, информация о которых агрегируется по субъекту Российской Федерации и Российской Федерации в целом, и мероприятия по контролю за использованием лесов и качеством исполнения лесохозяйственных мероприятий.</w:t>
      </w:r>
      <w:r>
        <w:t xml:space="preserve"> </w:t>
      </w:r>
      <w:r>
        <w:t xml:space="preserve">Проведение ГИЛ относится3 к полномочиям Федерального агентства лесного хозяйства (далее – Рослесхоз), которое доводит подведомственному федеральному государственному</w:t>
      </w:r>
      <w:r>
        <w:t xml:space="preserve"> </w:t>
      </w:r>
      <w:r>
        <w:t xml:space="preserve">бюджетному учреждению «Рослесинфорг» (далее – ФГБУ «Рослесинфорг», Учреждение) государственное задание. Территориальные органы Рослесхоза участвуют в контроле за выполнением мероприятий ГИЛ, рассмотрении и приемке их результатов.</w:t>
      </w:r>
    </w:p>
    <w:p>
      <w:pPr>
        <w:pStyle w:val="BodyText"/>
      </w:pPr>
      <w:r>
        <w:t xml:space="preserve">!!!!Наибольшая доля финансового обеспечения ГИЛ в проверяемый период в Российской Федерации направлялась на осуществление оценки характеристик лесов – до 76 %. На проведение ДМ было направлено до 37 % средств, на анализ мероприятий по сохранению лесов – до 14,3 %.!!</w:t>
      </w:r>
    </w:p>
    <w:p>
      <w:pPr>
        <w:pStyle w:val="BodyText"/>
      </w:pPr>
      <w:r>
        <w:t xml:space="preserve">[Изображение: Снимок экрана 2026-03-07 в 17.33.23.png]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2026-03-07T23:37:48Z</dcterms:created>
  <dcterms:modified xsi:type="dcterms:W3CDTF">2026-03-07T23:37:48Z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