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ustomer-segments-для-кого"/>
    <w:p>
      <w:pPr>
        <w:pStyle w:val="Heading2"/>
      </w:pPr>
      <w:r>
        <w:rPr>
          <w:b/>
          <w:bCs/>
        </w:rPr>
        <w:t xml:space="preserve">Customer Segments — для кого</w:t>
      </w:r>
    </w:p>
    <w:p>
      <w:pPr>
        <w:pStyle w:val="FirstParagraph"/>
      </w:pPr>
      <w:r>
        <w:t xml:space="preserve">Проблема: водимых в течение года Рослесхозом на выполнение государственного задания: в 2020 году – на 16,8 %, в 2021 году</w:t>
      </w:r>
      <w:r>
        <w:t xml:space="preserve"> </w:t>
      </w:r>
      <w:r>
        <w:t xml:space="preserve">на 0,2 %, в 2022 году – на 26 %, в 2023 году – 24,8 %. Указанное обусловлено</w:t>
      </w:r>
      <w:r>
        <w:t xml:space="preserve"> </w:t>
      </w:r>
      <w:r>
        <w:t xml:space="preserve">использованием остатков средств по другим работам Учреждения.</w:t>
      </w:r>
    </w:p>
    <w:p>
      <w:pPr>
        <w:pStyle w:val="BodyText"/>
      </w:pPr>
      <w:r>
        <w:t xml:space="preserve">###</w:t>
      </w:r>
      <w:r>
        <w:t xml:space="preserve"> </w:t>
      </w:r>
      <w:r>
        <w:rPr>
          <w:b/>
          <w:bCs/>
        </w:rP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t xml:space="preserve">Лесной инспектор</w:t>
      </w:r>
    </w:p>
    <w:bookmarkStart w:id="9" w:name="institutional-customer-beneficiary"/>
    <w:p>
      <w:pPr>
        <w:pStyle w:val="Heading3"/>
      </w:pPr>
      <w:r>
        <w:rPr>
          <w:b/>
          <w:bCs/>
        </w:rPr>
        <w:t xml:space="preserve">Institutional customer / beneficiary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Государство (Рослесхоз)</w:t>
      </w:r>
      <w:r>
        <w:t xml:space="preserve"> </w:t>
      </w:r>
      <w:r>
        <w:t xml:space="preserve">и территориальные органы</w:t>
      </w:r>
    </w:p>
    <w:p>
      <w:pPr>
        <w:numPr>
          <w:ilvl w:val="0"/>
          <w:numId w:val="1000"/>
        </w:numPr>
      </w:pPr>
      <w:r>
        <w:t xml:space="preserve">Боль: теряет десятки млрд руб., штрафы ничтожны, мониторинг покрывает лишь часть территории.</w:t>
      </w:r>
      <w:r>
        <w:t xml:space="preserve"> </w:t>
      </w:r>
      <w:r>
        <w:t xml:space="preserve">Конкретнее: ФГБУ «Рослесинфорг»</w:t>
      </w:r>
      <w:r>
        <w:t xml:space="preserve"> </w:t>
      </w:r>
      <w:r>
        <w:t xml:space="preserve">В IT подведоственный ФГБУ «Рослесинфорг» — это федеральное учреждение, которое занимается учетом, инвентаризацией и планированием использования лесов России, а также развитием IT‑систем для лесного хозяйства.</w:t>
      </w:r>
    </w:p>
    <w:p>
      <w:pPr>
        <w:pStyle w:val="FirstParagraph"/>
      </w:pPr>
      <w:r>
        <w:t xml:space="preserve">Основные направления деятельности</w:t>
      </w:r>
      <w:r>
        <w:t xml:space="preserve"> </w:t>
      </w:r>
      <w:r>
        <w:t xml:space="preserve">• Государственная инвентаризация лесов (ГИЛ): сбор данных о запасах, качестве и количестве древесины, в том числе с применением дистанционного мониторинга.</w:t>
      </w:r>
      <w:r>
        <w:t xml:space="preserve"> </w:t>
      </w:r>
      <w:r>
        <w:t xml:space="preserve">• Лесоустройство и планирование: лесное планирование и проектирование, подготовка лесоустроительной документации, проекты лесовосстановления и лесоразведения.</w:t>
      </w:r>
      <w:r>
        <w:t xml:space="preserve"> </w:t>
      </w:r>
      <w:r>
        <w:t xml:space="preserve">• Ведение государственных реестров и отчетности: ведение государственного лесного реестра (ГЛР), сбор и обработка государственной и отраслевой лесной статистики.</w:t>
      </w:r>
      <w:r>
        <w:t xml:space="preserve"> </w:t>
      </w:r>
      <w:r>
        <w:t xml:space="preserve">• Землеустроительные и кадастровые работы: установление границ лесничеств, лесопарков и лесных участков, оформление прав на землю лесного фонда.</w:t>
      </w:r>
      <w:r>
        <w:t xml:space="preserve"> </w:t>
      </w:r>
      <w:r>
        <w:t xml:space="preserve">• Геодезия, картография, топография: полевые и камеральные работы для нужд лесного хозяйства и связанных отраслей.</w:t>
      </w:r>
      <w:r>
        <w:t xml:space="preserve"> </w:t>
      </w:r>
      <w:r>
        <w:t xml:space="preserve">Цифровые и сервисные функции</w:t>
      </w:r>
      <w:r>
        <w:t xml:space="preserve"> </w:t>
      </w:r>
      <w:r>
        <w:t xml:space="preserve">• Разработка и сопровождение федеральных информационных систем лесного комплекса (включая ФГИС лесного комплекса, электронный ЕГЛР, «цифровой двойник» леса).</w:t>
      </w:r>
      <w:r>
        <w:t xml:space="preserve"> </w:t>
      </w:r>
      <w:r>
        <w:t xml:space="preserve">• Функции технического заказчика по цифровой трансформации лесной отрасли: планирование, создание и эксплуатация IT‑ландшафта лесного хозяйства.</w:t>
      </w:r>
      <w:r>
        <w:t xml:space="preserve"> </w:t>
      </w:r>
      <w:r>
        <w:t xml:space="preserve">• Оказание услуг предприятиям лесного комплекса: сопровождение инвестиционных проектов, экологический аудит, рекультивация, оценка углеродного следа и др</w:t>
      </w:r>
    </w:p>
    <w:p>
      <w:pPr>
        <w:pStyle w:val="BodyText"/>
      </w:pPr>
      <w:r>
        <w:t xml:space="preserve">Институты и партнеры:</w:t>
      </w:r>
      <w:r>
        <w:t xml:space="preserve"> </w:t>
      </w:r>
      <w:r>
        <w:t xml:space="preserve">ФБУ «ВНИИЛМ» (Всероссийский НИИ лесоводства и механизации лесного хозяйства)</w:t>
      </w:r>
      <w:r>
        <w:t xml:space="preserve"> </w:t>
      </w:r>
      <w:r>
        <w:t xml:space="preserve">Это головной научный институт в системе Рослесхоза.</w:t>
      </w:r>
      <w:r>
        <w:t xml:space="preserve"> </w:t>
      </w:r>
      <w:r>
        <w:t xml:space="preserve">ФБУ «Санкт-Петербургский НИИ лесного хозяйства» (СПбНИИЛХ)</w:t>
      </w:r>
      <w:r>
        <w:t xml:space="preserve"> </w:t>
      </w:r>
      <w:r>
        <w:t xml:space="preserve">-</w:t>
      </w:r>
      <w:r>
        <w:t xml:space="preserve"> </w:t>
      </w:r>
      <w:r>
        <w:t xml:space="preserve">###</w:t>
      </w:r>
      <w:r>
        <w:t xml:space="preserve"> </w:t>
      </w:r>
      <w:r>
        <w:rPr>
          <w:b/>
          <w:bCs/>
        </w:rPr>
        <w:t xml:space="preserve">Secondary segments из твоего текста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Арендаторы лесных участков</w:t>
      </w:r>
    </w:p>
    <w:p>
      <w:pPr>
        <w:pStyle w:val="Compact"/>
        <w:numPr>
          <w:ilvl w:val="0"/>
          <w:numId w:val="1003"/>
        </w:numPr>
      </w:pPr>
      <w:r>
        <w:t xml:space="preserve">Лесоклиматические проекты</w:t>
      </w:r>
    </w:p>
    <w:p>
      <w:pPr>
        <w:pStyle w:val="Compact"/>
        <w:numPr>
          <w:ilvl w:val="0"/>
          <w:numId w:val="1003"/>
        </w:numPr>
      </w:pPr>
      <w:r>
        <w:t xml:space="preserve">Центр по проблемам экологии и продуктивности лесов им. А.С. Исаева РАН (ЦЭПЛ РАН)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2026-03-07T23:37:48Z</dcterms:created>
  <dcterms:modified xsi:type="dcterms:W3CDTF">2026-03-07T23:37:48Z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