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Объем рынка формируется объемом бюджетных ассигнаций в рамках государственной инветаризации лесов (ГИЛ): наша категория Дистационный мониторинг, по данным счетной палаты годовой объем ДС – 140 миллионов рублей, год назад – 100.</w:t>
      </w:r>
      <w:r>
        <w:t xml:space="preserve"> </w:t>
      </w:r>
      <w:r>
        <w:t xml:space="preserve">В дальнейшем на данных можем делать аналитику, что включает еще 113 млн на мероприятия по сохранению лесов – еще 113 миллионов рублей.</w:t>
      </w:r>
    </w:p>
    <w:p>
      <w:pPr>
        <w:pStyle w:val="BodyText"/>
      </w:pPr>
      <w:r>
        <w:t xml:space="preserve">[Изображение: Pasted image 20260307205311.png]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2026-03-07T23:37:48Z</dcterms:created>
  <dcterms:modified xsi:type="dcterms:W3CDTF">2026-03-07T23:37:48Z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