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>
          <w:b/>
          <w:bCs/>
          <w:color w:val="00B1DF"/>
          <w:sz w:val="18"/>
          <w:szCs w:val="18"/>
        </w:rPr>
        <w:t>QA Automatizador · Sesión 6 · SauceDemo</w:t>
      </w:r>
    </w:p>
    <w:p>
      <w:pPr>
        <w:pStyle w:val="Normal"/>
        <w:spacing w:before="0" w:after="60"/>
        <w:rPr/>
      </w:pPr>
      <w:r>
        <w:rPr>
          <w:b/>
          <w:bCs/>
          <w:sz w:val="44"/>
          <w:szCs w:val="44"/>
        </w:rPr>
        <w:t>Documento de casos de prueba manuales v1</w:t>
      </w:r>
    </w:p>
    <w:p>
      <w:pPr>
        <w:pStyle w:val="Normal"/>
        <w:spacing w:before="0" w:after="200"/>
        <w:rPr/>
      </w:pPr>
      <w:r>
        <w:rPr>
          <w:color w:val="3D4750"/>
          <w:sz w:val="24"/>
          <w:szCs w:val="24"/>
        </w:rPr>
        <w:t>Proyecto: SauceDemo, tienda en línea de práctica (www.saucedemo.com)</w:t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  <w:tblLook w:noHBand="0" w:lastColumn="0" w:firstColumn="1" w:lastRow="0" w:firstRow="1" w:noVBand="1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B1DF"/>
              <w:start w:val="single" w:sz="24" w:space="0" w:color="00B1DF"/>
              <w:bottom w:val="single" w:sz="4" w:space="0" w:color="00B1DF"/>
              <w:end w:val="single" w:sz="4" w:space="0" w:color="00B1DF"/>
            </w:tcBorders>
            <w:shd w:color="auto" w:fill="E8F6FB" w:val="clear"/>
          </w:tcPr>
          <w:p>
            <w:pPr>
              <w:pStyle w:val="Normal"/>
              <w:spacing w:lineRule="auto" w:line="290"/>
              <w:rPr/>
            </w:pPr>
            <w:r>
              <w:rPr>
                <w:b/>
                <w:bCs/>
                <w:sz w:val="20"/>
                <w:szCs w:val="20"/>
              </w:rPr>
              <w:t>Proyecto propio.</w:t>
            </w:r>
            <w:r>
              <w:rPr>
                <w:sz w:val="20"/>
                <w:szCs w:val="20"/>
              </w:rPr>
              <w:t xml:space="preserve"> Casos de prueba manuales sobre el campo Zip/Postal Code del checkout de SauceDemo, diseñados con </w:t>
            </w:r>
            <w:r>
              <w:rPr>
                <w:b/>
                <w:bCs/>
                <w:sz w:val="20"/>
                <w:szCs w:val="20"/>
              </w:rPr>
              <w:t>clases de equivalencia y valores límite</w:t>
            </w:r>
            <w:r>
              <w:rPr>
                <w:sz w:val="20"/>
                <w:szCs w:val="20"/>
              </w:rPr>
              <w:t>. Los resultados son los obtenidos en la ejecución propia; no se registra un resultado que no se haya obtenido.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00" w:type="dxa"/>
          <w:bottom w:w="70" w:type="dxa"/>
          <w:end w:w="100" w:type="dxa"/>
        </w:tblCellMar>
        <w:tblLook w:noHBand="0" w:lastColumn="0" w:firstColumn="1" w:lastRow="0" w:firstRow="1" w:noVBand="1" w:val="04a0"/>
      </w:tblPr>
      <w:tblGrid>
        <w:gridCol w:w="2199"/>
        <w:gridCol w:w="7161"/>
      </w:tblGrid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Autor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Gianela Chávez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Pruebas funcionales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 xml:space="preserve">Realizadas el </w:t>
            </w:r>
            <w:r>
              <w:rPr>
                <w:sz w:val="18"/>
                <w:szCs w:val="18"/>
              </w:rPr>
              <w:t>12 de octubre</w:t>
            </w:r>
            <w:r>
              <w:rPr>
                <w:sz w:val="18"/>
                <w:szCs w:val="18"/>
              </w:rPr>
              <w:t>, en Chrome con el usuario standard_user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Pruebas de accesibilidad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 xml:space="preserve">Realizadas el </w:t>
            </w:r>
            <w:r>
              <w:rPr>
                <w:sz w:val="18"/>
                <w:szCs w:val="18"/>
              </w:rPr>
              <w:t>12 de octubre</w:t>
            </w:r>
            <w:r>
              <w:rPr>
                <w:sz w:val="18"/>
                <w:szCs w:val="18"/>
              </w:rPr>
              <w:t>, en Chrome (ventana de incógnito) con Lighthouse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Archivo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docs/casos-manuales-v1.md (en tu repositorio)</w:t>
            </w:r>
          </w:p>
        </w:tc>
      </w:tr>
    </w:tbl>
    <w:p>
      <w:pPr>
        <w:pStyle w:val="Heading1"/>
        <w:pBdr>
          <w:bottom w:val="single" w:sz="8" w:space="4" w:color="00B1DF"/>
        </w:pBdr>
        <w:spacing w:before="320" w:after="140"/>
        <w:rPr/>
      </w:pPr>
      <w:r>
        <w:rPr>
          <w:b/>
          <w:bCs/>
          <w:color w:val="000000"/>
          <w:sz w:val="30"/>
          <w:szCs w:val="30"/>
        </w:rPr>
        <w:t>1. Alcance y flujos críticos</w:t>
      </w:r>
    </w:p>
    <w:p>
      <w:pPr>
        <w:pStyle w:val="Normal"/>
        <w:spacing w:lineRule="auto" w:line="300" w:before="0" w:after="120"/>
        <w:rPr/>
      </w:pPr>
      <w:r>
        <w:rPr>
          <w:b/>
          <w:bCs/>
        </w:rPr>
        <w:t>Sistema bajo prueba:</w:t>
      </w:r>
      <w:r>
        <w:rPr/>
        <w:t xml:space="preserve"> SauceDemo (www.saucedemo.com), tienda en línea de práctica de Sauce Labs. Se prueba el campo Zip/Postal Code de la pantalla «Checkout: Your Information». </w:t>
      </w:r>
      <w:r>
        <w:rPr>
          <w:b/>
          <w:bCs/>
        </w:rPr>
        <w:t>Fuera de alcance:</w:t>
      </w:r>
      <w:r>
        <w:rPr/>
        <w:t xml:space="preserve"> rendimiento y seguridad.</w:t>
      </w:r>
    </w:p>
    <w:p>
      <w:pPr>
        <w:pStyle w:val="Normal"/>
        <w:spacing w:lineRule="auto" w:line="300" w:before="0" w:after="120"/>
        <w:rPr/>
      </w:pPr>
      <w:r>
        <w:rPr>
          <w:b/>
          <w:bCs/>
        </w:rPr>
        <w:t>Requisito de referencia:</w:t>
      </w:r>
      <w:r>
        <w:rPr/>
        <w:t xml:space="preserve"> SauceDemo no documenta un formato para el código postal; solo exige que el campo no esté vacío. Se toma como requisito supuesto: el campo es obligatorio y debe tener exactamente 5 dígitos numéricos, sin letras, espacios ni caracteres especiales. </w:t>
      </w:r>
      <w:r>
        <w:rPr>
          <w:b/>
          <w:bCs/>
        </w:rPr>
        <w:t>Datos base de prueba:</w:t>
      </w:r>
      <w:r>
        <w:rPr/>
        <w:t xml:space="preserve"> usuario standard_user, un producto en el carrito, First Name «Ana» y Last Name «Pérez».</w:t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00" w:type="dxa"/>
          <w:bottom w:w="70" w:type="dxa"/>
          <w:end w:w="100" w:type="dxa"/>
        </w:tblCellMar>
        <w:tblLook w:noHBand="0" w:lastColumn="0" w:firstColumn="1" w:lastRow="0" w:firstRow="1" w:noVBand="1" w:val="04a0"/>
      </w:tblPr>
      <w:tblGrid>
        <w:gridCol w:w="900"/>
        <w:gridCol w:w="3000"/>
        <w:gridCol w:w="5460"/>
      </w:tblGrid>
      <w:tr>
        <w:trPr>
          <w:tblHeader w:val="true"/>
        </w:trPr>
        <w:tc>
          <w:tcPr>
            <w:tcW w:w="9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00B1DF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0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00B1DF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Flujo crítico</w:t>
            </w:r>
          </w:p>
        </w:tc>
        <w:tc>
          <w:tcPr>
            <w:tcW w:w="546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00B1DF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Por qué es crítico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F1</w:t>
            </w:r>
          </w:p>
        </w:tc>
        <w:tc>
          <w:tcPr>
            <w:tcW w:w="30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Checkout con código postal válido</w:t>
            </w:r>
          </w:p>
        </w:tc>
        <w:tc>
          <w:tcPr>
            <w:tcW w:w="546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Es parte del flujo de compra: si falla, el usuario no puede terminar su pedido.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F2</w:t>
            </w:r>
          </w:p>
        </w:tc>
        <w:tc>
          <w:tcPr>
            <w:tcW w:w="30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Validación de la longitud (5 dígitos)</w:t>
            </w:r>
          </w:p>
        </w:tc>
        <w:tc>
          <w:tcPr>
            <w:tcW w:w="546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La regla define una longitud exacta; hay que comprobar los límites 4, 5 y 6 dígitos.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F3</w:t>
            </w:r>
          </w:p>
        </w:tc>
        <w:tc>
          <w:tcPr>
            <w:tcW w:w="300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Datos vacíos o con formato inválido</w:t>
            </w:r>
          </w:p>
        </w:tc>
        <w:tc>
          <w:tcPr>
            <w:tcW w:w="546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Define cómo responde la tienda cuando el usuario escribe mal su dirección de envío.</w:t>
            </w:r>
          </w:p>
        </w:tc>
      </w:tr>
    </w:tbl>
    <w:p>
      <w:pPr>
        <w:pStyle w:val="Heading1"/>
        <w:pBdr>
          <w:bottom w:val="single" w:sz="8" w:space="4" w:color="00B1DF"/>
        </w:pBdr>
        <w:spacing w:before="320" w:after="140"/>
        <w:rPr/>
      </w:pPr>
      <w:r>
        <w:rPr>
          <w:b/>
          <w:bCs/>
          <w:color w:val="000000"/>
          <w:sz w:val="30"/>
          <w:szCs w:val="30"/>
        </w:rPr>
        <w:t>2. Casos de prueba por flujo</w:t>
      </w:r>
    </w:p>
    <w:p>
      <w:pPr>
        <w:pStyle w:val="Normal"/>
        <w:spacing w:lineRule="auto" w:line="300" w:before="0" w:after="120"/>
        <w:rPr/>
      </w:pPr>
      <w:r>
        <w:rPr>
          <w:sz w:val="19"/>
          <w:szCs w:val="19"/>
        </w:rPr>
        <w:t xml:space="preserve">Estados: </w:t>
      </w:r>
      <w:r>
        <w:rPr>
          <w:b/>
          <w:bCs/>
          <w:sz w:val="19"/>
          <w:szCs w:val="19"/>
        </w:rPr>
        <w:t>Aprobado</w:t>
      </w:r>
      <w:r>
        <w:rPr>
          <w:sz w:val="19"/>
          <w:szCs w:val="19"/>
        </w:rPr>
        <w:t xml:space="preserve">, </w:t>
      </w:r>
      <w:r>
        <w:rPr>
          <w:b/>
          <w:bCs/>
          <w:sz w:val="19"/>
          <w:szCs w:val="19"/>
        </w:rPr>
        <w:t>Fallido</w:t>
      </w:r>
      <w:r>
        <w:rPr>
          <w:sz w:val="19"/>
          <w:szCs w:val="19"/>
        </w:rPr>
        <w:t xml:space="preserve">, </w:t>
      </w:r>
      <w:r>
        <w:rPr>
          <w:b/>
          <w:bCs/>
          <w:sz w:val="19"/>
          <w:szCs w:val="19"/>
        </w:rPr>
        <w:t>Parcial</w:t>
      </w:r>
      <w:r>
        <w:rPr>
          <w:sz w:val="19"/>
          <w:szCs w:val="19"/>
        </w:rPr>
        <w:t xml:space="preserve"> (cumple una parte) y </w:t>
      </w:r>
      <w:r>
        <w:rPr>
          <w:b/>
          <w:bCs/>
          <w:sz w:val="19"/>
          <w:szCs w:val="19"/>
        </w:rPr>
        <w:t>Por ejecutar</w:t>
      </w:r>
      <w:r>
        <w:rPr>
          <w:sz w:val="19"/>
          <w:szCs w:val="19"/>
        </w:rPr>
        <w:t xml:space="preserve"> (escrito, sin ejecutar todavía). Los resultados observados corresponden a la ejecución del [fecha de ejecución] con los datos base (standard_user, Ana Pérez).</w:t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00" w:type="dxa"/>
          <w:bottom w:w="70" w:type="dxa"/>
          <w:end w:w="100" w:type="dxa"/>
        </w:tblCellMar>
        <w:tblLook w:noHBand="0" w:lastColumn="0" w:firstColumn="1" w:lastRow="0" w:firstRow="1" w:noVBand="1" w:val="04a0"/>
      </w:tblPr>
      <w:tblGrid>
        <w:gridCol w:w="719"/>
        <w:gridCol w:w="720"/>
        <w:gridCol w:w="2259"/>
        <w:gridCol w:w="1898"/>
        <w:gridCol w:w="2798"/>
        <w:gridCol w:w="966"/>
      </w:tblGrid>
      <w:tr>
        <w:trPr>
          <w:tblHeader w:val="true"/>
        </w:trPr>
        <w:tc>
          <w:tcPr>
            <w:tcW w:w="71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00B1DF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72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00B1DF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Flujo</w:t>
            </w:r>
          </w:p>
        </w:tc>
        <w:tc>
          <w:tcPr>
            <w:tcW w:w="225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00B1DF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Pasos y datos</w:t>
            </w:r>
          </w:p>
        </w:tc>
        <w:tc>
          <w:tcPr>
            <w:tcW w:w="1898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00B1DF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Resultado esperado</w:t>
            </w:r>
          </w:p>
        </w:tc>
        <w:tc>
          <w:tcPr>
            <w:tcW w:w="2798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00B1DF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Resultado observado</w:t>
            </w:r>
          </w:p>
        </w:tc>
        <w:tc>
          <w:tcPr>
            <w:tcW w:w="966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00B1DF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CP-01</w:t>
            </w:r>
          </w:p>
        </w:tc>
        <w:tc>
          <w:tcPr>
            <w:tcW w:w="72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F1</w:t>
            </w:r>
          </w:p>
        </w:tc>
        <w:tc>
          <w:tcPr>
            <w:tcW w:w="225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Iniciar sesión con standard_user. Agregar un producto. Cart → Checkout. First Name «Ana», Last Name «Pérez», Postal Code 10001 (5 dígitos, límite exacto). Continue.</w:t>
            </w:r>
          </w:p>
        </w:tc>
        <w:tc>
          <w:tcPr>
            <w:tcW w:w="1898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Continúa a «Checkout: Overview».</w:t>
            </w:r>
          </w:p>
        </w:tc>
        <w:tc>
          <w:tcPr>
            <w:tcW w:w="2798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Avanzó a «Checkout: Overview».</w:t>
            </w:r>
          </w:p>
        </w:tc>
        <w:tc>
          <w:tcPr>
            <w:tcW w:w="966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Aprobado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CP-02</w:t>
            </w:r>
          </w:p>
        </w:tc>
        <w:tc>
          <w:tcPr>
            <w:tcW w:w="72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F1</w:t>
            </w:r>
          </w:p>
        </w:tc>
        <w:tc>
          <w:tcPr>
            <w:tcW w:w="225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Igual que CP-01 con Postal Code 00000 (valor mínimo válido).</w:t>
            </w:r>
          </w:p>
        </w:tc>
        <w:tc>
          <w:tcPr>
            <w:tcW w:w="1898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Continúa a «Checkout: Overview».</w:t>
            </w:r>
          </w:p>
        </w:tc>
        <w:tc>
          <w:tcPr>
            <w:tcW w:w="2798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Avanzó a «Checkout: Overview».</w:t>
            </w:r>
          </w:p>
        </w:tc>
        <w:tc>
          <w:tcPr>
            <w:tcW w:w="966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Aprobado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CP-03</w:t>
            </w:r>
          </w:p>
        </w:tc>
        <w:tc>
          <w:tcPr>
            <w:tcW w:w="72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F1</w:t>
            </w:r>
          </w:p>
        </w:tc>
        <w:tc>
          <w:tcPr>
            <w:tcW w:w="225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Igual que CP-01 con Postal Code 99999 (valor máximo válido).</w:t>
            </w:r>
          </w:p>
        </w:tc>
        <w:tc>
          <w:tcPr>
            <w:tcW w:w="1898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Continúa a «Checkout: Overview».</w:t>
            </w:r>
          </w:p>
        </w:tc>
        <w:tc>
          <w:tcPr>
            <w:tcW w:w="2798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Avanzó a «Checkout: Overview».</w:t>
            </w:r>
          </w:p>
        </w:tc>
        <w:tc>
          <w:tcPr>
            <w:tcW w:w="966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Aprobado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CP-04</w:t>
            </w:r>
          </w:p>
        </w:tc>
        <w:tc>
          <w:tcPr>
            <w:tcW w:w="72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F3</w:t>
            </w:r>
          </w:p>
        </w:tc>
        <w:tc>
          <w:tcPr>
            <w:tcW w:w="225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Igual que CP-01 con el Postal Code vacío (longitud 0).</w:t>
            </w:r>
          </w:p>
        </w:tc>
        <w:tc>
          <w:tcPr>
            <w:tcW w:w="1898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Mensaje «Error: Postal Code is required»; no avanza.</w:t>
            </w:r>
          </w:p>
        </w:tc>
        <w:tc>
          <w:tcPr>
            <w:tcW w:w="2798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Mostró el mensaje de error y no avanzó.</w:t>
            </w:r>
          </w:p>
        </w:tc>
        <w:tc>
          <w:tcPr>
            <w:tcW w:w="966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Aprobado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CP-05</w:t>
            </w:r>
          </w:p>
        </w:tc>
        <w:tc>
          <w:tcPr>
            <w:tcW w:w="72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F2</w:t>
            </w:r>
          </w:p>
        </w:tc>
        <w:tc>
          <w:tcPr>
            <w:tcW w:w="225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Igual que CP-01 con Postal Code 1000 (4 dígitos, límite inferior − 1).</w:t>
            </w:r>
          </w:p>
        </w:tc>
        <w:tc>
          <w:tcPr>
            <w:tcW w:w="1898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Se rechaza con un mensaje de formato y no avanza.</w:t>
            </w:r>
          </w:p>
        </w:tc>
        <w:tc>
          <w:tcPr>
            <w:tcW w:w="2798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Se aceptó. Avanzó a «Checkout: Overview» sin mostrar error.</w:t>
            </w:r>
          </w:p>
        </w:tc>
        <w:tc>
          <w:tcPr>
            <w:tcW w:w="966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Fallido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CP-06</w:t>
            </w:r>
          </w:p>
        </w:tc>
        <w:tc>
          <w:tcPr>
            <w:tcW w:w="72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F2</w:t>
            </w:r>
          </w:p>
        </w:tc>
        <w:tc>
          <w:tcPr>
            <w:tcW w:w="225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Igual que CP-01 con Postal Code 100010 (6 dígitos, límite superior + 1).</w:t>
            </w:r>
          </w:p>
        </w:tc>
        <w:tc>
          <w:tcPr>
            <w:tcW w:w="1898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Se rechaza con un mensaje de formato y no avanza.</w:t>
            </w:r>
          </w:p>
        </w:tc>
        <w:tc>
          <w:tcPr>
            <w:tcW w:w="2798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Se aceptó. Avanzó a «Checkout: Overview» sin mostrar error.</w:t>
            </w:r>
          </w:p>
        </w:tc>
        <w:tc>
          <w:tcPr>
            <w:tcW w:w="966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Fallido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CP-07</w:t>
            </w:r>
          </w:p>
        </w:tc>
        <w:tc>
          <w:tcPr>
            <w:tcW w:w="72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F2</w:t>
            </w:r>
          </w:p>
        </w:tc>
        <w:tc>
          <w:tcPr>
            <w:tcW w:w="225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Igual que CP-01 con Postal Code 1234567890 (10 dígitos).</w:t>
            </w:r>
          </w:p>
        </w:tc>
        <w:tc>
          <w:tcPr>
            <w:tcW w:w="1898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Se rechaza con un mensaje de formato y no avanza.</w:t>
            </w:r>
          </w:p>
        </w:tc>
        <w:tc>
          <w:tcPr>
            <w:tcW w:w="2798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Se aceptó. Avanzó a «Checkout: Overview» sin mostrar error.</w:t>
            </w:r>
          </w:p>
        </w:tc>
        <w:tc>
          <w:tcPr>
            <w:tcW w:w="966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Fallido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CP-08</w:t>
            </w:r>
          </w:p>
        </w:tc>
        <w:tc>
          <w:tcPr>
            <w:tcW w:w="72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F3</w:t>
            </w:r>
          </w:p>
        </w:tc>
        <w:tc>
          <w:tcPr>
            <w:tcW w:w="225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Igual que CP-01 con Postal Code 12A45 (contiene letras).</w:t>
            </w:r>
          </w:p>
        </w:tc>
        <w:tc>
          <w:tcPr>
            <w:tcW w:w="1898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Se rechaza con un mensaje de formato y no avanza.</w:t>
            </w:r>
          </w:p>
        </w:tc>
        <w:tc>
          <w:tcPr>
            <w:tcW w:w="2798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  <w:lang w:val="en-US"/>
              </w:rPr>
              <w:t>Se aceptó. Avanzó a «Checkout: Overview» sin mostrar error.</w:t>
            </w:r>
          </w:p>
        </w:tc>
        <w:tc>
          <w:tcPr>
            <w:tcW w:w="966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Fallido</w:t>
            </w:r>
          </w:p>
        </w:tc>
      </w:tr>
      <w:tr>
        <w:trPr>
          <w:cantSplit/>
        </w:trPr>
        <w:tc>
          <w:tcPr>
            <w:tcW w:w="71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CP-09</w:t>
            </w:r>
          </w:p>
        </w:tc>
        <w:tc>
          <w:tcPr>
            <w:tcW w:w="720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F3</w:t>
            </w:r>
          </w:p>
        </w:tc>
        <w:tc>
          <w:tcPr>
            <w:tcW w:w="225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Igual que CP-01 con Postal Code 12-4! (caracteres especiales).</w:t>
            </w:r>
          </w:p>
        </w:tc>
        <w:tc>
          <w:tcPr>
            <w:tcW w:w="1898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Se rechaza con un mensaje de formato y no avanza.</w:t>
            </w:r>
          </w:p>
        </w:tc>
        <w:tc>
          <w:tcPr>
            <w:tcW w:w="2798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Se aceptó. Avanzó a «Checkout: Overview» sin mostrar error.</w:t>
            </w:r>
          </w:p>
        </w:tc>
        <w:tc>
          <w:tcPr>
            <w:tcW w:w="966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7"/>
                <w:szCs w:val="17"/>
              </w:rPr>
              <w:t>Fallido</w:t>
            </w:r>
          </w:p>
        </w:tc>
      </w:tr>
    </w:tbl>
    <w:p>
      <w:pPr>
        <w:pStyle w:val="Normal"/>
        <w:spacing w:lineRule="auto" w:line="300" w:before="0" w:after="60"/>
        <w:rPr/>
      </w:pPr>
      <w:r>
        <w:rPr>
          <w:i/>
          <w:iCs/>
          <w:sz w:val="19"/>
          <w:szCs w:val="19"/>
        </w:rPr>
        <w:t>Observación: la regla de 5 dígitos es un requisito supuesto, porque SauceDemo solo exige que el campo no esté vacío. Antes de reportar CP-05 a CP-09 como defectos, habría que confirmar el requisito real con el equipo.</w:t>
      </w:r>
    </w:p>
    <w:p>
      <w:pPr>
        <w:pStyle w:val="Heading1"/>
        <w:pBdr>
          <w:bottom w:val="single" w:sz="8" w:space="4" w:color="00B1DF"/>
        </w:pBdr>
        <w:spacing w:before="320" w:after="140"/>
        <w:rPr/>
      </w:pPr>
      <w:r>
        <w:rPr>
          <w:b/>
          <w:bCs/>
          <w:color w:val="000000"/>
          <w:sz w:val="30"/>
          <w:szCs w:val="30"/>
        </w:rPr>
        <w:t>3. Defectos encontrados</w:t>
      </w:r>
    </w:p>
    <w:p>
      <w:pPr>
        <w:pStyle w:val="Normal"/>
        <w:spacing w:lineRule="auto" w:line="300" w:before="0" w:after="120"/>
        <w:rPr/>
      </w:pPr>
      <w:r>
        <w:rPr>
          <w:sz w:val="19"/>
          <w:szCs w:val="19"/>
        </w:rPr>
        <w:t>Severidad (impacto) y prioridad (urgencia) son propuestas del autor, cada una con su justificación.</w:t>
      </w:r>
    </w:p>
    <w:p>
      <w:pPr>
        <w:pStyle w:val="Heading2"/>
        <w:spacing w:before="220" w:after="100"/>
        <w:rPr/>
      </w:pPr>
      <w:r>
        <w:rPr>
          <w:b/>
          <w:bCs/>
          <w:color w:val="3D4750"/>
          <w:sz w:val="24"/>
          <w:szCs w:val="24"/>
        </w:rPr>
        <w:t>DEF-01 · El código postal acepta 4 y 6 dígitos, aunque la regla exige exactamente 5</w:t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00" w:type="dxa"/>
          <w:bottom w:w="70" w:type="dxa"/>
          <w:end w:w="100" w:type="dxa"/>
        </w:tblCellMar>
        <w:tblLook w:noHBand="0" w:lastColumn="0" w:firstColumn="1" w:lastRow="0" w:firstRow="1" w:noVBand="1" w:val="04a0"/>
      </w:tblPr>
      <w:tblGrid>
        <w:gridCol w:w="2199"/>
        <w:gridCol w:w="7161"/>
      </w:tblGrid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Caso relacionado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CP-05 y CP-06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1) Iniciar sesión con standard_user. 2) Agregar un producto y abrir Cart → Checkout. 3) First Name «Ana», Last Name «Pérez». 4) Postal Code 1000 (o 100010). 5) Continue.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Esperado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La tienda rechaza el código postal con un mensaje de formato y no avanza.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Obtenido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Avanza a «Checkout: Overview» sin mostrar error.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Media / alta. Un código incompleto o con un dígito de más puede impedir la entrega del pedido, y es el error de tipeo más frecuente.</w:t>
            </w:r>
          </w:p>
        </w:tc>
      </w:tr>
    </w:tbl>
    <w:p>
      <w:pPr>
        <w:pStyle w:val="Heading2"/>
        <w:spacing w:before="220" w:after="100"/>
        <w:rPr/>
      </w:pPr>
      <w:r>
        <w:rPr>
          <w:b/>
          <w:bCs/>
          <w:color w:val="3D4750"/>
          <w:sz w:val="24"/>
          <w:szCs w:val="24"/>
        </w:rPr>
        <w:t>DEF-02 · El código postal no tiene límite de longitud</w:t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00" w:type="dxa"/>
          <w:bottom w:w="70" w:type="dxa"/>
          <w:end w:w="100" w:type="dxa"/>
        </w:tblCellMar>
        <w:tblLook w:noHBand="0" w:lastColumn="0" w:firstColumn="1" w:lastRow="0" w:firstRow="1" w:noVBand="1" w:val="04a0"/>
      </w:tblPr>
      <w:tblGrid>
        <w:gridCol w:w="2199"/>
        <w:gridCol w:w="7161"/>
      </w:tblGrid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Caso relacionado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CP-07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1) Iniciar sesión con standard_user. 2) Agregar un producto y abrir Cart → Checkout. 3) First Name «Ana», Last Name «Pérez». 4) Postal Code 1234567890. 5) Continue.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Esperado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La tienda rechaza el código postal con un mensaje de formato y no avanza.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Obtenido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Avanza a «Checkout: Overview» sin mostrar error.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Media / media. Se guardan datos de envío inválidos, pero es menos probable que un usuario real escriba 10 dígitos.</w:t>
            </w:r>
          </w:p>
        </w:tc>
      </w:tr>
    </w:tbl>
    <w:p>
      <w:pPr>
        <w:pStyle w:val="Heading2"/>
        <w:spacing w:before="220" w:after="100"/>
        <w:rPr/>
      </w:pPr>
      <w:r>
        <w:rPr>
          <w:b/>
          <w:bCs/>
          <w:color w:val="3D4750"/>
          <w:sz w:val="24"/>
          <w:szCs w:val="24"/>
        </w:rPr>
        <w:t>DEF-03 · El código postal acepta letras y caracteres especiales</w:t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00" w:type="dxa"/>
          <w:bottom w:w="70" w:type="dxa"/>
          <w:end w:w="100" w:type="dxa"/>
        </w:tblCellMar>
        <w:tblLook w:noHBand="0" w:lastColumn="0" w:firstColumn="1" w:lastRow="0" w:firstRow="1" w:noVBand="1" w:val="04a0"/>
      </w:tblPr>
      <w:tblGrid>
        <w:gridCol w:w="2199"/>
        <w:gridCol w:w="7161"/>
      </w:tblGrid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Casos relacionados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CP-08 y CP-09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1) Iniciar sesión con standard_user. 2) Agregar un producto y abrir Cart → Checkout. 3) First Name «Ana», Last Name «Pérez». 4) Postal Code 12A45 (o 12-4!). 5) Continue.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Esperado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La tienda rechaza el código postal con un mensaje de formato y no avanza.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Obtenido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Avanza a «Checkout: Overview» sin mostrar error.</w:t>
            </w:r>
            <w:bookmarkStart w:id="0" w:name="_GoBack"/>
            <w:bookmarkEnd w:id="0"/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Media / media. Afecta la calidad del dato de envío sin bloquear la compra. Si el campo no se sanitiza, podría además ser un riesgo de seguridad.</w:t>
            </w:r>
          </w:p>
        </w:tc>
      </w:tr>
    </w:tbl>
    <w:p>
      <w:pPr>
        <w:pStyle w:val="Heading1"/>
        <w:pBdr>
          <w:bottom w:val="single" w:sz="8" w:space="4" w:color="00B1DF"/>
        </w:pBdr>
        <w:spacing w:before="320" w:after="140"/>
        <w:rPr/>
      </w:pPr>
      <w:r>
        <w:rPr>
          <w:b/>
          <w:bCs/>
          <w:color w:val="000000"/>
          <w:sz w:val="30"/>
          <w:szCs w:val="30"/>
        </w:rPr>
        <w:t>4. Accesibilidad y usabilidad</w:t>
      </w:r>
    </w:p>
    <w:p>
      <w:pPr>
        <w:pStyle w:val="Normal"/>
        <w:spacing w:lineRule="auto" w:line="300" w:before="0" w:after="120"/>
        <w:rPr/>
      </w:pPr>
      <w:r>
        <w:rPr>
          <w:b/>
          <w:bCs/>
        </w:rPr>
        <w:t>Cómo se mide:</w:t>
      </w:r>
      <w:r>
        <w:rPr/>
        <w:t xml:space="preserve"> Lighthouse (categoría Accessibility) en Chrome, sobre la pantalla «Checkout: Your Information» de www.saucedemo.com (requiere iniciar sesión). </w:t>
      </w:r>
      <w:r>
        <w:rPr>
          <w:b/>
          <w:bCs/>
        </w:rPr>
        <w:t>Resultado:</w:t>
      </w:r>
      <w:r>
        <w:rPr/>
        <w:t xml:space="preserve"> pendiente; el puntaje se registrará después de la medición. Un puntaje no es un veredicto: se repite la medición antes de reportar y se registra el entorno (herramienta, versión, dispositivo y hora). Lighthouse analiza una sola pantalla a la vez y detecta solo una parte de los problemas.</w:t>
      </w:r>
    </w:p>
    <w:p>
      <w:pPr>
        <w:pStyle w:val="Heading2"/>
        <w:spacing w:before="220" w:after="100"/>
        <w:rPr/>
      </w:pPr>
      <w:r>
        <w:rPr>
          <w:b/>
          <w:bCs/>
          <w:color w:val="3D4750"/>
          <w:sz w:val="24"/>
          <w:szCs w:val="24"/>
        </w:rPr>
        <w:t>H1 · Los campos del checkout usan el placeholder como única etiqueta</w:t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00" w:type="dxa"/>
          <w:bottom w:w="70" w:type="dxa"/>
          <w:end w:w="100" w:type="dxa"/>
        </w:tblCellMar>
        <w:tblLook w:noHBand="0" w:lastColumn="0" w:firstColumn="1" w:lastRow="0" w:firstRow="1" w:noVBand="1" w:val="04a0"/>
      </w:tblPr>
      <w:tblGrid>
        <w:gridCol w:w="2199"/>
        <w:gridCol w:w="7161"/>
      </w:tblGrid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Principio y criterio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Comprensible (3.3.2 Etiquetas o instrucciones). Verificar en w3.org/WAI/WCAG22/quickref.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  <w:lang w:val="en-US"/>
              </w:rPr>
              <w:t>1) Iniciar sesión y llegar a «Checkout: Your Information». 2) Escribir en el campo Zip/Postal Code. 3) Observar si el nombre del campo sigue visible.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Esperado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Cada campo tiene una etiqueta visible que no desaparece al escribir.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Obtenido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El nombre del campo solo aparece como placeholder y desaparece al escribir.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Afecta a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Personas con dificultades de memoria o atención y personas que usan lector de pantalla.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CONFIRMADO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rStyle w:val="Strong"/>
                <w:sz w:val="18"/>
                <w:szCs w:val="18"/>
              </w:rPr>
              <w:t>Baja / baja</w:t>
            </w:r>
            <w:r>
              <w:rPr>
                <w:sz w:val="18"/>
                <w:szCs w:val="18"/>
              </w:rPr>
              <w:t>: no impide comprar, pero dificulta el uso para algunas persona</w:t>
            </w:r>
            <w:r>
              <w:rPr>
                <w:sz w:val="18"/>
                <w:szCs w:val="18"/>
              </w:rPr>
              <w:t>s.</w:t>
            </w:r>
          </w:p>
        </w:tc>
      </w:tr>
    </w:tbl>
    <w:p>
      <w:pPr>
        <w:pStyle w:val="Heading2"/>
        <w:spacing w:before="220" w:after="100"/>
        <w:rPr/>
      </w:pPr>
      <w:r>
        <w:rPr>
          <w:b/>
          <w:bCs/>
          <w:color w:val="3D4750"/>
          <w:sz w:val="24"/>
          <w:szCs w:val="24"/>
        </w:rPr>
        <w:t>H2 · [Hallazgo del informe de Lighthouse por registrar]</w:t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00" w:type="dxa"/>
          <w:bottom w:w="70" w:type="dxa"/>
          <w:end w:w="100" w:type="dxa"/>
        </w:tblCellMar>
        <w:tblLook w:noHBand="0" w:lastColumn="0" w:firstColumn="1" w:lastRow="0" w:firstRow="1" w:noVBand="1" w:val="04a0"/>
      </w:tblPr>
      <w:tblGrid>
        <w:gridCol w:w="2199"/>
        <w:gridCol w:w="7161"/>
      </w:tblGrid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Principio y criterio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Operable (2.4.7 Foco visible). Verificar en w3.org/WAI/WCAG22/quickref.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Iniciar sesión y llegar a «Checkout: Your Information». 2) Presionar Tab sin usar el mouse. 3) Recorrer First Name, Last Name y Zip/Postal Code. 4) Presionar Tab otra vez hacia los botones. 5) Presionar Enter.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Esperado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Siempre se ve qué elemento tiene el foco, también en los botones Cancel y Continue.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Obtenido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Con 3 Tab el foco recorre First Name, Last Name y Zip/Postal Code en orden y se ve el cursor. Al seguir con Tab, el indicador de foco desaparece: no se ve si está en Cancel o en Continue. Aun así, «Continue» se activa con Enter.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Afecta a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Personas que navegan solo con teclado y personas con baja visión.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Confirmado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Media / media. No impide comprar, pero el usuario no sabe qué botón va a activar y podría presionar Cancel por error.</w:t>
            </w:r>
          </w:p>
        </w:tc>
      </w:tr>
    </w:tbl>
    <w:p>
      <w:pPr>
        <w:pStyle w:val="Heading2"/>
        <w:spacing w:before="220" w:after="100"/>
        <w:rPr/>
      </w:pPr>
      <w:r>
        <w:rPr>
          <w:b/>
          <w:bCs/>
          <w:color w:val="3D4750"/>
          <w:sz w:val="24"/>
          <w:szCs w:val="24"/>
        </w:rPr>
        <w:t>U1 · El formulario no indica el formato esperado del código postal (usabilidad)</w:t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00" w:type="dxa"/>
          <w:bottom w:w="70" w:type="dxa"/>
          <w:end w:w="100" w:type="dxa"/>
        </w:tblCellMar>
        <w:tblLook w:noHBand="0" w:lastColumn="0" w:firstColumn="1" w:lastRow="0" w:firstRow="1" w:noVBand="1" w:val="04a0"/>
      </w:tblPr>
      <w:tblGrid>
        <w:gridCol w:w="2199"/>
        <w:gridCol w:w="7161"/>
      </w:tblGrid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Heurística de Nielsen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Ayudar a reconocer, diagnosticar y recuperarse de los errores.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Observado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Solo aparece un mensaje cuando el campo está vacío (ver CP-04); en ningún momento se informa que se esperan 5 dígitos.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Heurística relacionada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Prevención de errores: se aceptan 4, 6 o 10 dígitos, letras y símbolos sin ninguna advertencia (ver DEF-01 a DEF-03).</w:t>
            </w:r>
          </w:p>
        </w:tc>
      </w:tr>
    </w:tbl>
    <w:p>
      <w:pPr>
        <w:pStyle w:val="Normal"/>
        <w:spacing w:lineRule="auto" w:line="300" w:before="0" w:after="60"/>
        <w:rPr>
          <w:sz w:val="19"/>
          <w:szCs w:val="19"/>
        </w:rPr>
      </w:pPr>
      <w:r>
        <w:rPr/>
      </w:r>
    </w:p>
    <w:p>
      <w:pPr>
        <w:pStyle w:val="Heading1"/>
        <w:pBdr>
          <w:bottom w:val="single" w:sz="8" w:space="4" w:color="00B1DF"/>
        </w:pBdr>
        <w:spacing w:before="320" w:after="140"/>
        <w:rPr/>
      </w:pPr>
      <w:r>
        <w:rPr>
          <w:b/>
          <w:bCs/>
          <w:color w:val="000000"/>
          <w:sz w:val="30"/>
          <w:szCs w:val="30"/>
        </w:rPr>
        <w:t>5. Registro en la herramienta de gestión (Jira)</w:t>
      </w:r>
    </w:p>
    <w:p>
      <w:pPr>
        <w:pStyle w:val="Normal"/>
        <w:spacing w:lineRule="auto" w:line="300" w:before="0" w:after="120"/>
        <w:rPr/>
      </w:pPr>
      <w:r>
        <w:rPr/>
        <w:t xml:space="preserve">Casos y defectos se registran en Jira (plan Free) con dos tipos de incidencia: </w:t>
      </w:r>
      <w:r>
        <w:rPr>
          <w:b/>
          <w:bCs/>
        </w:rPr>
        <w:t>Caso de prueba</w:t>
      </w:r>
      <w:r>
        <w:rPr/>
        <w:t xml:space="preserve"> y </w:t>
      </w:r>
      <w:r>
        <w:rPr>
          <w:b/>
          <w:bCs/>
        </w:rPr>
        <w:t>Defecto</w:t>
      </w:r>
      <w:r>
        <w:rPr/>
        <w:t>. Estados de los casos: Por ejecutar → En ejecución → Aprobado o Fallido. Cada defecto se vincula con el caso que lo encontró. Las claves de abajo son de ejemplo: sustitúyelas por las de tu proyecto.</w:t>
      </w:r>
    </w:p>
    <w:tbl>
      <w:tblPr>
        <w:tblW w:w="9382" w:type="dxa"/>
        <w:jc w:val="start"/>
        <w:tblInd w:w="18" w:type="dxa"/>
        <w:tblLayout w:type="fixed"/>
        <w:tblCellMar>
          <w:top w:w="70" w:type="dxa"/>
          <w:start w:w="100" w:type="dxa"/>
          <w:bottom w:w="70" w:type="dxa"/>
          <w:end w:w="100" w:type="dxa"/>
        </w:tblCellMar>
        <w:tblLook w:noHBand="0" w:lastColumn="0" w:firstColumn="1" w:lastRow="0" w:firstRow="1" w:noVBand="1" w:val="04a0"/>
      </w:tblPr>
      <w:tblGrid>
        <w:gridCol w:w="1474"/>
        <w:gridCol w:w="1701"/>
        <w:gridCol w:w="3866"/>
        <w:gridCol w:w="2341"/>
      </w:tblGrid>
      <w:tr>
        <w:trPr>
          <w:tblHeader w:val="true"/>
        </w:trPr>
        <w:tc>
          <w:tcPr>
            <w:tcW w:w="1474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00B1DF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70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00B1DF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Clave de ejemplo</w:t>
            </w:r>
          </w:p>
        </w:tc>
        <w:tc>
          <w:tcPr>
            <w:tcW w:w="3866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00B1DF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Resumen</w:t>
            </w:r>
          </w:p>
        </w:tc>
        <w:tc>
          <w:tcPr>
            <w:tcW w:w="234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00B1DF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Vínculo</w:t>
            </w:r>
          </w:p>
        </w:tc>
      </w:tr>
      <w:tr>
        <w:trPr>
          <w:cantSplit/>
        </w:trPr>
        <w:tc>
          <w:tcPr>
            <w:tcW w:w="1474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Caso de prueba</w:t>
            </w:r>
          </w:p>
        </w:tc>
        <w:tc>
          <w:tcPr>
            <w:tcW w:w="170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SD-1</w:t>
            </w:r>
          </w:p>
        </w:tc>
        <w:tc>
          <w:tcPr>
            <w:tcW w:w="3866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CP-01 · Postal Code 10001</w:t>
            </w:r>
          </w:p>
        </w:tc>
        <w:tc>
          <w:tcPr>
            <w:tcW w:w="234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f1-codigo-valido</w:t>
            </w:r>
          </w:p>
        </w:tc>
      </w:tr>
      <w:tr>
        <w:trPr>
          <w:cantSplit/>
        </w:trPr>
        <w:tc>
          <w:tcPr>
            <w:tcW w:w="1474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Caso de prueba</w:t>
            </w:r>
          </w:p>
        </w:tc>
        <w:tc>
          <w:tcPr>
            <w:tcW w:w="170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SD-2</w:t>
            </w:r>
          </w:p>
        </w:tc>
        <w:tc>
          <w:tcPr>
            <w:tcW w:w="3866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CP-02 · Postal Code 00000</w:t>
            </w:r>
          </w:p>
        </w:tc>
        <w:tc>
          <w:tcPr>
            <w:tcW w:w="234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f1-codigo-valido</w:t>
            </w:r>
          </w:p>
        </w:tc>
      </w:tr>
      <w:tr>
        <w:trPr>
          <w:cantSplit/>
        </w:trPr>
        <w:tc>
          <w:tcPr>
            <w:tcW w:w="1474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Caso de prueba</w:t>
            </w:r>
          </w:p>
        </w:tc>
        <w:tc>
          <w:tcPr>
            <w:tcW w:w="170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SD-3</w:t>
            </w:r>
          </w:p>
        </w:tc>
        <w:tc>
          <w:tcPr>
            <w:tcW w:w="3866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CP-03 · Postal Code 99999</w:t>
            </w:r>
          </w:p>
        </w:tc>
        <w:tc>
          <w:tcPr>
            <w:tcW w:w="234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f1-codigo-valido</w:t>
            </w:r>
          </w:p>
        </w:tc>
      </w:tr>
      <w:tr>
        <w:trPr>
          <w:cantSplit/>
        </w:trPr>
        <w:tc>
          <w:tcPr>
            <w:tcW w:w="1474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Caso de prueba</w:t>
            </w:r>
          </w:p>
        </w:tc>
        <w:tc>
          <w:tcPr>
            <w:tcW w:w="170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SD-4</w:t>
            </w:r>
          </w:p>
        </w:tc>
        <w:tc>
          <w:tcPr>
            <w:tcW w:w="3866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CP-04 · Postal Code vacío</w:t>
            </w:r>
          </w:p>
        </w:tc>
        <w:tc>
          <w:tcPr>
            <w:tcW w:w="234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f3-formato-invalido</w:t>
            </w:r>
          </w:p>
        </w:tc>
      </w:tr>
      <w:tr>
        <w:trPr>
          <w:cantSplit/>
        </w:trPr>
        <w:tc>
          <w:tcPr>
            <w:tcW w:w="1474" w:type="dxa"/>
            <w:tcBorders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Caso de prueba</w:t>
            </w:r>
          </w:p>
        </w:tc>
        <w:tc>
          <w:tcPr>
            <w:tcW w:w="1701" w:type="dxa"/>
            <w:tcBorders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SD-5</w:t>
            </w:r>
          </w:p>
        </w:tc>
        <w:tc>
          <w:tcPr>
            <w:tcW w:w="3866" w:type="dxa"/>
            <w:tcBorders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CP-05 · Postal Code 4 dígitos</w:t>
            </w:r>
          </w:p>
        </w:tc>
        <w:tc>
          <w:tcPr>
            <w:tcW w:w="2341" w:type="dxa"/>
            <w:tcBorders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f2-longitud</w:t>
            </w:r>
          </w:p>
        </w:tc>
      </w:tr>
      <w:tr>
        <w:trPr>
          <w:cantSplit/>
        </w:trPr>
        <w:tc>
          <w:tcPr>
            <w:tcW w:w="1474" w:type="dxa"/>
            <w:tcBorders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Caso de prueba</w:t>
            </w:r>
          </w:p>
        </w:tc>
        <w:tc>
          <w:tcPr>
            <w:tcW w:w="1701" w:type="dxa"/>
            <w:tcBorders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SD-6</w:t>
            </w:r>
          </w:p>
        </w:tc>
        <w:tc>
          <w:tcPr>
            <w:tcW w:w="3866" w:type="dxa"/>
            <w:tcBorders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CP-06 · Postal Code 6 dígitos</w:t>
            </w:r>
          </w:p>
        </w:tc>
        <w:tc>
          <w:tcPr>
            <w:tcW w:w="2341" w:type="dxa"/>
            <w:tcBorders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f2-longitud</w:t>
            </w:r>
          </w:p>
        </w:tc>
      </w:tr>
      <w:tr>
        <w:trPr>
          <w:cantSplit/>
        </w:trPr>
        <w:tc>
          <w:tcPr>
            <w:tcW w:w="1474" w:type="dxa"/>
            <w:tcBorders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Caso de prueba</w:t>
            </w:r>
          </w:p>
        </w:tc>
        <w:tc>
          <w:tcPr>
            <w:tcW w:w="1701" w:type="dxa"/>
            <w:tcBorders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SD-7</w:t>
            </w:r>
          </w:p>
        </w:tc>
        <w:tc>
          <w:tcPr>
            <w:tcW w:w="3866" w:type="dxa"/>
            <w:tcBorders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CP-07 · Postal Code 10 dígitos</w:t>
            </w:r>
          </w:p>
        </w:tc>
        <w:tc>
          <w:tcPr>
            <w:tcW w:w="2341" w:type="dxa"/>
            <w:tcBorders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f2-longitud</w:t>
            </w:r>
          </w:p>
        </w:tc>
      </w:tr>
      <w:tr>
        <w:trPr>
          <w:cantSplit/>
        </w:trPr>
        <w:tc>
          <w:tcPr>
            <w:tcW w:w="1474" w:type="dxa"/>
            <w:tcBorders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Caso de prueba</w:t>
            </w:r>
          </w:p>
        </w:tc>
        <w:tc>
          <w:tcPr>
            <w:tcW w:w="1701" w:type="dxa"/>
            <w:tcBorders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SD-8</w:t>
            </w:r>
          </w:p>
        </w:tc>
        <w:tc>
          <w:tcPr>
            <w:tcW w:w="3866" w:type="dxa"/>
            <w:tcBorders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CP-08 · Postal Code con letras</w:t>
            </w:r>
          </w:p>
        </w:tc>
        <w:tc>
          <w:tcPr>
            <w:tcW w:w="2341" w:type="dxa"/>
            <w:tcBorders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f3-formato-invalido</w:t>
            </w:r>
          </w:p>
        </w:tc>
      </w:tr>
      <w:tr>
        <w:trPr>
          <w:cantSplit/>
        </w:trPr>
        <w:tc>
          <w:tcPr>
            <w:tcW w:w="1474" w:type="dxa"/>
            <w:tcBorders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Caso de prueba</w:t>
            </w:r>
          </w:p>
        </w:tc>
        <w:tc>
          <w:tcPr>
            <w:tcW w:w="1701" w:type="dxa"/>
            <w:tcBorders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SD-12</w:t>
            </w:r>
          </w:p>
        </w:tc>
        <w:tc>
          <w:tcPr>
            <w:tcW w:w="3866" w:type="dxa"/>
            <w:tcBorders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CP-09 · Postal Code con caracteres especiales</w:t>
            </w:r>
          </w:p>
        </w:tc>
        <w:tc>
          <w:tcPr>
            <w:tcW w:w="2341" w:type="dxa"/>
            <w:tcBorders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f3-formato-invalido</w:t>
            </w:r>
          </w:p>
        </w:tc>
      </w:tr>
      <w:tr>
        <w:trPr>
          <w:cantSplit/>
        </w:trPr>
        <w:tc>
          <w:tcPr>
            <w:tcW w:w="1474" w:type="dxa"/>
            <w:tcBorders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Defecto</w:t>
            </w:r>
          </w:p>
        </w:tc>
        <w:tc>
          <w:tcPr>
            <w:tcW w:w="1701" w:type="dxa"/>
            <w:tcBorders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SD-9</w:t>
            </w:r>
          </w:p>
        </w:tc>
        <w:tc>
          <w:tcPr>
            <w:tcW w:w="3866" w:type="dxa"/>
            <w:tcBorders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DEF-01 · Acepta 4 y 6 dígitos</w:t>
            </w:r>
          </w:p>
        </w:tc>
        <w:tc>
          <w:tcPr>
            <w:tcW w:w="2341" w:type="dxa"/>
            <w:tcBorders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f2-longitud · enlaza a SD-5 y SD-6</w:t>
            </w:r>
          </w:p>
        </w:tc>
      </w:tr>
      <w:tr>
        <w:trPr>
          <w:cantSplit/>
        </w:trPr>
        <w:tc>
          <w:tcPr>
            <w:tcW w:w="1474" w:type="dxa"/>
            <w:tcBorders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Defecto</w:t>
            </w:r>
          </w:p>
        </w:tc>
        <w:tc>
          <w:tcPr>
            <w:tcW w:w="1701" w:type="dxa"/>
            <w:tcBorders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SD-10</w:t>
            </w:r>
          </w:p>
        </w:tc>
        <w:tc>
          <w:tcPr>
            <w:tcW w:w="3866" w:type="dxa"/>
            <w:tcBorders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DEF-02 · No tiene límite de longitud</w:t>
            </w:r>
          </w:p>
        </w:tc>
        <w:tc>
          <w:tcPr>
            <w:tcW w:w="2341" w:type="dxa"/>
            <w:tcBorders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f2-longitud · enlaza a SD-7</w:t>
            </w:r>
          </w:p>
        </w:tc>
      </w:tr>
      <w:tr>
        <w:trPr>
          <w:cantSplit/>
        </w:trPr>
        <w:tc>
          <w:tcPr>
            <w:tcW w:w="1474" w:type="dxa"/>
            <w:tcBorders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Defecto</w:t>
            </w:r>
          </w:p>
        </w:tc>
        <w:tc>
          <w:tcPr>
            <w:tcW w:w="1701" w:type="dxa"/>
            <w:tcBorders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SD-11</w:t>
            </w:r>
          </w:p>
        </w:tc>
        <w:tc>
          <w:tcPr>
            <w:tcW w:w="3866" w:type="dxa"/>
            <w:tcBorders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DEF-03 · Acepta letras y caracteres especiales</w:t>
            </w:r>
          </w:p>
        </w:tc>
        <w:tc>
          <w:tcPr>
            <w:tcW w:w="2341" w:type="dxa"/>
            <w:tcBorders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f3-formato-invalido · enlaza a SD-8 y SD-</w:t>
            </w:r>
            <w:r>
              <w:rPr>
                <w:sz w:val="18"/>
                <w:szCs w:val="18"/>
              </w:rPr>
              <w:t>12</w:t>
            </w:r>
          </w:p>
        </w:tc>
      </w:tr>
    </w:tbl>
    <w:p>
      <w:pPr>
        <w:pStyle w:val="Heading1"/>
        <w:pBdr>
          <w:bottom w:val="single" w:sz="8" w:space="4" w:color="00B1DF"/>
        </w:pBdr>
        <w:spacing w:before="320" w:after="14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</w:r>
    </w:p>
    <w:p>
      <w:pPr>
        <w:pStyle w:val="Heading1"/>
        <w:pBdr>
          <w:bottom w:val="single" w:sz="8" w:space="4" w:color="00B1DF"/>
        </w:pBdr>
        <w:spacing w:before="320" w:after="140"/>
        <w:rPr>
          <w:b/>
          <w:bCs/>
          <w:color w:val="000000"/>
          <w:sz w:val="30"/>
          <w:szCs w:val="30"/>
        </w:rPr>
      </w:pPr>
      <w:r>
        <w:rPr>
          <w:b/>
          <w:bCs/>
          <w:color w:val="000000"/>
          <w:sz w:val="30"/>
          <w:szCs w:val="30"/>
        </w:rPr>
        <w:t>6. Uso de IA (Nivel 1)</w:t>
      </w:r>
    </w:p>
    <w:p>
      <w:pPr>
        <w:pStyle w:val="Normal"/>
        <w:spacing w:lineRule="auto" w:line="300" w:before="0" w:after="120"/>
        <w:rPr/>
      </w:pPr>
      <w:r>
        <w:rPr>
          <w:i/>
          <w:iCs/>
          <w:sz w:val="19"/>
          <w:szCs w:val="19"/>
        </w:rPr>
        <w:t>Uso real de IA (Claude) durante la preparación de este documento: qué pedí, qué recibí y qué verifiqué.</w:t>
      </w:r>
    </w:p>
    <w:tbl>
      <w:tblPr>
        <w:tblW w:w="9360" w:type="dxa"/>
        <w:jc w:val="start"/>
        <w:tblInd w:w="0" w:type="dxa"/>
        <w:tblLayout w:type="fixed"/>
        <w:tblCellMar>
          <w:top w:w="70" w:type="dxa"/>
          <w:start w:w="100" w:type="dxa"/>
          <w:bottom w:w="70" w:type="dxa"/>
          <w:end w:w="100" w:type="dxa"/>
        </w:tblCellMar>
        <w:tblLook w:noHBand="0" w:lastColumn="0" w:firstColumn="1" w:lastRow="0" w:firstRow="1" w:noVBand="1" w:val="04a0"/>
      </w:tblPr>
      <w:tblGrid>
        <w:gridCol w:w="2199"/>
        <w:gridCol w:w="7161"/>
      </w:tblGrid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Qué pedí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  <w:lang w:val="en-US"/>
              </w:rPr>
              <w:t>«Elige un campo de SauceDemo con regla.»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Qué usé de la respuesta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La regla supuesta de 5 dígitos, las clases de equivalencia, los valores límite (4, 5 y 6 dígitos) y la propuesta de severidad y prioridad con su justificación.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Qué verifiqué en la fuente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Ejecuté los 9 casos en www.saucedemo.com y registré los resultados observados. Confirmé que SauceDemo solo valida que el campo no esté vacío.</w:t>
            </w:r>
          </w:p>
        </w:tc>
      </w:tr>
      <w:tr>
        <w:trPr>
          <w:cantSplit/>
        </w:trPr>
        <w:tc>
          <w:tcPr>
            <w:tcW w:w="2199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  <w:shd w:color="auto" w:fill="F2F4F6" w:val="clear"/>
          </w:tcPr>
          <w:p>
            <w:pPr>
              <w:pStyle w:val="Normal"/>
              <w:spacing w:before="0" w:after="30"/>
              <w:rPr/>
            </w:pPr>
            <w:r>
              <w:rPr>
                <w:b/>
                <w:bCs/>
                <w:sz w:val="18"/>
                <w:szCs w:val="18"/>
              </w:rPr>
              <w:t>Qué descarté y por qué</w:t>
            </w:r>
          </w:p>
        </w:tc>
        <w:tc>
          <w:tcPr>
            <w:tcW w:w="7161" w:type="dxa"/>
            <w:tcBorders>
              <w:top w:val="single" w:sz="4" w:space="0" w:color="C9CFD4"/>
              <w:start w:val="single" w:sz="4" w:space="0" w:color="C9CFD4"/>
              <w:bottom w:val="single" w:sz="4" w:space="0" w:color="C9CFD4"/>
              <w:end w:val="single" w:sz="4" w:space="0" w:color="C9CFD4"/>
            </w:tcBorders>
          </w:tcPr>
          <w:p>
            <w:pPr>
              <w:pStyle w:val="Normal"/>
              <w:spacing w:before="0" w:after="30"/>
              <w:rPr/>
            </w:pPr>
            <w:r>
              <w:rPr>
                <w:sz w:val="18"/>
                <w:szCs w:val="18"/>
              </w:rPr>
              <w:t>La clase «solo espacios» y el caso de 1 dígito, para mantener un conjunto de casos enfocado sin perder cobertura de clases y límites.</w:t>
            </w:r>
          </w:p>
        </w:tc>
      </w:tr>
    </w:tbl>
    <w:p>
      <w:pPr>
        <w:pStyle w:val="Heading1"/>
        <w:pBdr>
          <w:bottom w:val="single" w:sz="8" w:space="4" w:color="00B1DF"/>
        </w:pBdr>
        <w:spacing w:before="320" w:after="140"/>
        <w:rPr/>
      </w:pPr>
      <w:r>
        <w:rPr>
          <w:b/>
          <w:bCs/>
          <w:color w:val="000000"/>
          <w:sz w:val="30"/>
          <w:szCs w:val="30"/>
        </w:rPr>
        <w:t>Lista de verificación antes de entregar</w:t>
      </w:r>
    </w:p>
    <w:p>
      <w:pPr>
        <w:pStyle w:val="ListParagraph"/>
        <w:numPr>
          <w:ilvl w:val="0"/>
          <w:numId w:val="3"/>
        </w:numPr>
        <w:spacing w:lineRule="auto" w:line="290" w:before="0" w:after="80"/>
        <w:rPr/>
      </w:pPr>
      <w:r>
        <w:rPr/>
        <w:t>Al menos 8 casos con precondición, pasos, datos y resultado esperado.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/>
        <w:t>Cada defecto con pasos, esperado, obtenido, severidad, prioridad y caso vinculado.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/>
        <w:t>De 2 a 3 hallazgos de accesibilidad o usabilidad, con criterio verificado en el W3C.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/>
        <w:t>Casos y defectos visibles en la herramienta de gestión.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/>
        <w:t>Sección de uso de IA completa.</w:t>
      </w:r>
    </w:p>
    <w:p>
      <w:pPr>
        <w:pStyle w:val="ListParagraph"/>
        <w:numPr>
          <w:ilvl w:val="0"/>
          <w:numId w:val="1"/>
        </w:numPr>
        <w:spacing w:lineRule="auto" w:line="290" w:before="0" w:after="80"/>
        <w:rPr/>
      </w:pPr>
      <w:r>
        <w:rPr/>
        <w:t>Commit y push de docs/casos-manuales-v1.md.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200" w:footer="708" w:bottom="12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6B7680"/>
        <w:sz w:val="16"/>
        <w:szCs w:val="16"/>
      </w:rPr>
      <w:t xml:space="preserve">Casos manuales v1 · QA Automatizador · Tecsup Virtual · Página </w:t>
    </w:r>
    <w:r>
      <w:rPr>
        <w:color w:val="6B7680"/>
        <w:sz w:val="16"/>
        <w:szCs w:val="16"/>
      </w:rPr>
      <w:fldChar w:fldCharType="begin"/>
    </w:r>
    <w:r>
      <w:rPr>
        <w:color w:val="6B7680"/>
        <w:sz w:val="16"/>
        <w:szCs w:val="16"/>
      </w:rPr>
      <w:instrText xml:space="preserve"> PAGE </w:instrText>
    </w:r>
    <w:r>
      <w:rPr>
        <w:color w:val="6B7680"/>
        <w:sz w:val="16"/>
        <w:szCs w:val="16"/>
      </w:rPr>
      <w:fldChar w:fldCharType="separate"/>
    </w:r>
    <w:r>
      <w:rPr>
        <w:color w:val="6B7680"/>
        <w:sz w:val="16"/>
        <w:szCs w:val="16"/>
      </w:rPr>
      <w:t>3</w:t>
    </w:r>
    <w:r>
      <w:rPr>
        <w:color w:val="6B7680"/>
        <w:sz w:val="16"/>
        <w:szCs w:val="16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6B7680"/>
        <w:sz w:val="16"/>
        <w:szCs w:val="16"/>
      </w:rPr>
      <w:t xml:space="preserve">Casos manuales v1 · QA Automatizador · Tecsup Virtual · Página </w:t>
    </w:r>
    <w:r>
      <w:rPr>
        <w:color w:val="6B7680"/>
        <w:sz w:val="16"/>
        <w:szCs w:val="16"/>
      </w:rPr>
      <w:fldChar w:fldCharType="begin"/>
    </w:r>
    <w:r>
      <w:rPr>
        <w:color w:val="6B7680"/>
        <w:sz w:val="16"/>
        <w:szCs w:val="16"/>
      </w:rPr>
      <w:instrText xml:space="preserve"> PAGE </w:instrText>
    </w:r>
    <w:r>
      <w:rPr>
        <w:color w:val="6B7680"/>
        <w:sz w:val="16"/>
        <w:szCs w:val="16"/>
      </w:rPr>
      <w:fldChar w:fldCharType="separate"/>
    </w:r>
    <w:r>
      <w:rPr>
        <w:color w:val="6B7680"/>
        <w:sz w:val="16"/>
        <w:szCs w:val="16"/>
      </w:rPr>
      <w:t>3</w:t>
    </w:r>
    <w:r>
      <w:rPr>
        <w:color w:val="6B7680"/>
        <w:sz w:val="16"/>
        <w:szCs w:val="16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40" w:hanging="27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1"/>
        <w:szCs w:val="21"/>
        <w:lang w:val="es-MX" w:eastAsia="es-MX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1"/>
      <w:szCs w:val="21"/>
      <w:lang w:val="es-MX" w:eastAsia="es-MX" w:bidi="ar-SA"/>
    </w:rPr>
  </w:style>
  <w:style w:type="paragraph" w:styleId="Heading1">
    <w:name w:val="heading 1"/>
    <w:qFormat/>
    <w:pPr>
      <w:widowControl/>
      <w:bidi w:val="0"/>
      <w:spacing w:before="0" w:after="0"/>
      <w:jc w:val="start"/>
      <w:outlineLvl w:val="0"/>
    </w:pPr>
    <w:rPr>
      <w:rFonts w:ascii="Arial" w:hAnsi="Arial" w:eastAsia="Arial" w:cs="Arial"/>
      <w:color w:val="2E74B5"/>
      <w:kern w:val="0"/>
      <w:sz w:val="32"/>
      <w:szCs w:val="32"/>
      <w:lang w:val="es-MX" w:eastAsia="es-MX" w:bidi="ar-SA"/>
    </w:rPr>
  </w:style>
  <w:style w:type="paragraph" w:styleId="Heading2">
    <w:name w:val="heading 2"/>
    <w:qFormat/>
    <w:pPr>
      <w:widowControl/>
      <w:bidi w:val="0"/>
      <w:spacing w:before="0" w:after="0"/>
      <w:jc w:val="start"/>
      <w:outlineLvl w:val="1"/>
    </w:pPr>
    <w:rPr>
      <w:rFonts w:ascii="Arial" w:hAnsi="Arial" w:eastAsia="Arial" w:cs="Arial"/>
      <w:color w:val="2E74B5"/>
      <w:kern w:val="0"/>
      <w:sz w:val="26"/>
      <w:szCs w:val="26"/>
      <w:lang w:val="es-MX" w:eastAsia="es-MX" w:bidi="ar-SA"/>
    </w:rPr>
  </w:style>
  <w:style w:type="paragraph" w:styleId="Heading3">
    <w:name w:val="heading 3"/>
    <w:qFormat/>
    <w:pPr>
      <w:widowControl/>
      <w:bidi w:val="0"/>
      <w:spacing w:before="0" w:after="0"/>
      <w:jc w:val="start"/>
      <w:outlineLvl w:val="2"/>
    </w:pPr>
    <w:rPr>
      <w:rFonts w:ascii="Arial" w:hAnsi="Arial" w:eastAsia="Arial" w:cs="Arial"/>
      <w:color w:val="1F4D78"/>
      <w:kern w:val="0"/>
      <w:sz w:val="24"/>
      <w:szCs w:val="24"/>
      <w:lang w:val="es-MX" w:eastAsia="es-MX" w:bidi="ar-SA"/>
    </w:rPr>
  </w:style>
  <w:style w:type="paragraph" w:styleId="Heading4">
    <w:name w:val="heading 4"/>
    <w:qFormat/>
    <w:pPr>
      <w:widowControl/>
      <w:bidi w:val="0"/>
      <w:spacing w:before="0" w:after="0"/>
      <w:jc w:val="start"/>
      <w:outlineLvl w:val="3"/>
    </w:pPr>
    <w:rPr>
      <w:rFonts w:ascii="Arial" w:hAnsi="Arial" w:eastAsia="Arial" w:cs="Arial"/>
      <w:i/>
      <w:iCs/>
      <w:color w:val="2E74B5"/>
      <w:kern w:val="0"/>
      <w:sz w:val="21"/>
      <w:szCs w:val="21"/>
      <w:lang w:val="es-MX" w:eastAsia="es-MX" w:bidi="ar-SA"/>
    </w:rPr>
  </w:style>
  <w:style w:type="paragraph" w:styleId="Heading5">
    <w:name w:val="heading 5"/>
    <w:qFormat/>
    <w:pPr>
      <w:widowControl/>
      <w:bidi w:val="0"/>
      <w:spacing w:before="0" w:after="0"/>
      <w:jc w:val="start"/>
      <w:outlineLvl w:val="4"/>
    </w:pPr>
    <w:rPr>
      <w:rFonts w:ascii="Arial" w:hAnsi="Arial" w:eastAsia="Arial" w:cs="Arial"/>
      <w:color w:val="2E74B5"/>
      <w:kern w:val="0"/>
      <w:sz w:val="21"/>
      <w:szCs w:val="21"/>
      <w:lang w:val="es-MX" w:eastAsia="es-MX" w:bidi="ar-SA"/>
    </w:rPr>
  </w:style>
  <w:style w:type="paragraph" w:styleId="Heading6">
    <w:name w:val="heading 6"/>
    <w:qFormat/>
    <w:pPr>
      <w:widowControl/>
      <w:bidi w:val="0"/>
      <w:spacing w:before="0" w:after="0"/>
      <w:jc w:val="start"/>
      <w:outlineLvl w:val="5"/>
    </w:pPr>
    <w:rPr>
      <w:rFonts w:ascii="Arial" w:hAnsi="Arial" w:eastAsia="Arial" w:cs="Arial"/>
      <w:color w:val="1F4D78"/>
      <w:kern w:val="0"/>
      <w:sz w:val="21"/>
      <w:szCs w:val="21"/>
      <w:lang w:val="es-MX" w:eastAsia="es-MX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notapieCar" w:customStyle="1">
    <w:name w:val="Texto nota pie Car"/>
    <w:link w:val="FootnoteText"/>
    <w:uiPriority w:val="99"/>
    <w:semiHidden/>
    <w:unhideWhenUsed/>
    <w:rPr>
      <w:sz w:val="20"/>
      <w:szCs w:val="20"/>
    </w:rPr>
  </w:style>
  <w:style w:type="character" w:styleId="EndnoteCharacters">
    <w:name w:val="Endnote Characters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TextonotaalfinalCar" w:customStyle="1">
    <w:name w:val="Texto nota al final C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rPr>
      <w:b/>
      <w:bCs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 Unicode MS"/>
    </w:rPr>
  </w:style>
  <w:style w:type="paragraph" w:styleId="Title">
    <w:name w:val="Title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56"/>
      <w:szCs w:val="56"/>
      <w:lang w:val="es-MX" w:eastAsia="es-MX" w:bidi="ar-SA"/>
    </w:rPr>
  </w:style>
  <w:style w:type="paragraph" w:styleId="Textoennegrita1" w:customStyle="1">
    <w:name w:val="Texto en negrita1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1"/>
      <w:szCs w:val="21"/>
      <w:lang w:val="es-MX" w:eastAsia="es-MX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1"/>
      <w:szCs w:val="21"/>
      <w:lang w:val="es-MX" w:eastAsia="es-MX" w:bidi="ar-SA"/>
    </w:rPr>
  </w:style>
  <w:style w:type="paragraph" w:styleId="FootnoteText">
    <w:name w:val="footnote text"/>
    <w:link w:val="TextonotapieCar"/>
    <w:uiPriority w:val="99"/>
    <w:semiHidden/>
    <w:unhideWhenUsed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s-MX" w:eastAsia="es-MX" w:bidi="ar-SA"/>
    </w:rPr>
  </w:style>
  <w:style w:type="paragraph" w:styleId="EndnoteText">
    <w:name w:val="endnote text"/>
    <w:link w:val="TextonotaalfinalCar"/>
    <w:uiPriority w:val="99"/>
    <w:semiHidden/>
    <w:unhideWhenUsed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s-MX" w:eastAsia="es-MX" w:bidi="ar-SA"/>
    </w:rPr>
  </w:style>
  <w:style w:type="paragraph" w:styleId="HeaderandFooter">
    <w:name w:val="Header and Footer"/>
    <w:basedOn w:val="Normal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LibreOffice/26.8.0.3$MacOSX_AARCH64 LibreOffice_project/bce0998afefdbc355585ca324285661a2170ba77</Application>
  <AppVersion>15.0000</AppVersion>
  <Pages>5</Pages>
  <Words>1759</Words>
  <Characters>9039</Characters>
  <CharactersWithSpaces>10556</CharactersWithSpaces>
  <Paragraphs>236</Paragraphs>
  <Company>Interseguro Compañia de seguros S.A.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2026-10-12T23:19:00Z</dcterms:created>
  <dc:creator>Un-named</dc:creator>
  <dc:description/>
  <dc:language>es-ES</dc:language>
  <cp:lastModifiedBy/>
  <dcterms:modified xsi:type="dcterms:W3CDTF">2026-10-12T23:51:53Z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