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150E88" w:rsidRDefault="0079300B" w:rsidP="00150E88">
      <w:pPr>
        <w:rPr>
          <w:rFonts w:ascii="Arial" w:hAnsi="Arial" w:cs="Arial"/>
          <w:color w:val="595959" w:themeColor="text1" w:themeTint="A6"/>
        </w:rPr>
      </w:pPr>
    </w:p>
    <w:p w14:paraId="2D039447" w14:textId="77777777" w:rsidR="0079300B" w:rsidRPr="00150E88" w:rsidRDefault="00DB69A2" w:rsidP="00150E88">
      <w:pPr>
        <w:tabs>
          <w:tab w:val="left" w:pos="1140"/>
        </w:tabs>
        <w:rPr>
          <w:rFonts w:ascii="Arial" w:hAnsi="Arial" w:cs="Arial"/>
          <w:color w:val="595959" w:themeColor="text1" w:themeTint="A6"/>
        </w:rPr>
      </w:pPr>
      <w:r w:rsidRPr="00150E88">
        <w:rPr>
          <w:rFonts w:ascii="Arial" w:hAnsi="Arial" w:cs="Arial"/>
          <w:color w:val="595959" w:themeColor="text1" w:themeTint="A6"/>
        </w:rPr>
        <w:tab/>
      </w:r>
    </w:p>
    <w:p w14:paraId="2D039448" w14:textId="77777777" w:rsidR="004D4368" w:rsidRPr="00150E88" w:rsidRDefault="0079300B" w:rsidP="00150E88">
      <w:pPr>
        <w:rPr>
          <w:rFonts w:ascii="Arial" w:hAnsi="Arial" w:cs="Arial"/>
          <w:b/>
          <w:color w:val="595959" w:themeColor="text1" w:themeTint="A6"/>
          <w:sz w:val="28"/>
        </w:rPr>
      </w:pPr>
      <w:r w:rsidRPr="00150E88">
        <w:rPr>
          <w:rFonts w:ascii="Arial" w:hAnsi="Arial" w:cs="Arial"/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3947C" wp14:editId="2D03947D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3C9B9A90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150E88" w:rsidRP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Visualización de Datos</w:t>
                            </w:r>
                          </w:p>
                          <w:p w14:paraId="2D039498" w14:textId="3F62CD39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  <w:r w:rsidR="00150E88" w:rsidRP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D-ELEC-N1-IEI-C7/D</w:t>
                            </w:r>
                          </w:p>
                          <w:p w14:paraId="2D039499" w14:textId="23CF6711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</w:t>
                            </w:r>
                            <w:r w:rsidRP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: </w:t>
                            </w:r>
                            <w:r w:rsidR="00150E88" w:rsidRP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Patricio Araya Castro</w:t>
                            </w:r>
                          </w:p>
                          <w:p w14:paraId="2D03949A" w14:textId="394974EB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</w:t>
                            </w:r>
                            <w:r w:rsid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l </w:t>
                            </w: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integrante</w:t>
                            </w:r>
                            <w:r w:rsid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: Gianina </w:t>
                            </w:r>
                            <w:proofErr w:type="spellStart"/>
                            <w:r w:rsidR="00150E88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Mendez</w:t>
                            </w:r>
                            <w:proofErr w:type="spellEnd"/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C" w14:textId="77777777" w:rsidR="0079300B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3B234294" w14:textId="4DF842FB" w:rsidR="00150E88" w:rsidRDefault="00150E88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21/10/2026</w:t>
                            </w:r>
                          </w:p>
                          <w:p w14:paraId="5D6FE0A9" w14:textId="77777777" w:rsidR="00150E88" w:rsidRPr="00EF5A12" w:rsidRDefault="00150E88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2D039497" w14:textId="3C9B9A90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150E88" w:rsidRP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>Visualización de Datos</w:t>
                      </w:r>
                    </w:p>
                    <w:p w14:paraId="2D039498" w14:textId="3F62CD39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  <w:r w:rsidR="00150E88" w:rsidRP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>D-ELEC-N1-IEI-C7/D</w:t>
                      </w:r>
                    </w:p>
                    <w:p w14:paraId="2D039499" w14:textId="23CF6711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</w:t>
                      </w:r>
                      <w:r w:rsidRP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: </w:t>
                      </w:r>
                      <w:r w:rsidR="00150E88" w:rsidRP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>Patricio Araya Castro</w:t>
                      </w:r>
                    </w:p>
                    <w:p w14:paraId="2D03949A" w14:textId="394974EB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</w:t>
                      </w:r>
                      <w:r w:rsid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l </w:t>
                      </w: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integrante</w:t>
                      </w:r>
                      <w:r w:rsid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: Gianina </w:t>
                      </w:r>
                      <w:proofErr w:type="spellStart"/>
                      <w:r w:rsidR="00150E88">
                        <w:rPr>
                          <w:b/>
                          <w:color w:val="404040" w:themeColor="text1" w:themeTint="BF"/>
                          <w:lang w:eastAsia="es-CL"/>
                        </w:rPr>
                        <w:t>Mendez</w:t>
                      </w:r>
                      <w:proofErr w:type="spellEnd"/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C" w14:textId="77777777" w:rsidR="0079300B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3B234294" w14:textId="4DF842FB" w:rsidR="00150E88" w:rsidRDefault="00150E88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</w:rPr>
                        <w:t>21/10/2026</w:t>
                      </w:r>
                    </w:p>
                    <w:p w14:paraId="5D6FE0A9" w14:textId="77777777" w:rsidR="00150E88" w:rsidRPr="00EF5A12" w:rsidRDefault="00150E88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0E88">
        <w:rPr>
          <w:rFonts w:ascii="Arial" w:hAnsi="Arial" w:cs="Arial"/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3947E" wp14:editId="2D03947F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A0" w14:textId="010BDBE6" w:rsidR="0079300B" w:rsidRPr="00EF5A12" w:rsidRDefault="00150E88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0E88"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INFORME EJECUTIVO: ANÁLISIS Y ESTRATEGIA DE RENDIMIENTO COMERCIAL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E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2D0394A0" w14:textId="010BDBE6" w:rsidR="0079300B" w:rsidRPr="00EF5A12" w:rsidRDefault="00150E88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50E88">
                        <w:rPr>
                          <w:b/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INFORME EJECUTIVO: ANÁLISIS Y ESTRATEGIA DE RENDIMIENTO COMERCIAL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039449" w14:textId="77777777" w:rsidR="004D4368" w:rsidRPr="00150E88" w:rsidRDefault="004D4368" w:rsidP="00150E88">
      <w:pPr>
        <w:spacing w:after="160" w:line="259" w:lineRule="auto"/>
        <w:rPr>
          <w:rFonts w:ascii="Arial" w:hAnsi="Arial" w:cs="Arial"/>
          <w:b/>
          <w:color w:val="595959" w:themeColor="text1" w:themeTint="A6"/>
          <w:sz w:val="28"/>
          <w:lang w:eastAsia="es-CL"/>
        </w:rPr>
      </w:pPr>
    </w:p>
    <w:p w14:paraId="1E7BC92C" w14:textId="0DE15C74" w:rsidR="00150E88" w:rsidRPr="00150E88" w:rsidRDefault="004D4368" w:rsidP="00150E88">
      <w:pPr>
        <w:spacing w:after="160" w:line="259" w:lineRule="auto"/>
        <w:rPr>
          <w:rFonts w:ascii="Arial" w:hAnsi="Arial" w:cs="Arial"/>
          <w:b/>
          <w:color w:val="595959" w:themeColor="text1" w:themeTint="A6"/>
          <w:sz w:val="28"/>
        </w:rPr>
      </w:pPr>
      <w:r w:rsidRPr="00150E88">
        <w:rPr>
          <w:rFonts w:ascii="Arial" w:hAnsi="Arial" w:cs="Arial"/>
          <w:b/>
          <w:color w:val="595959" w:themeColor="text1" w:themeTint="A6"/>
          <w:sz w:val="28"/>
        </w:rPr>
        <w:br w:type="page"/>
      </w:r>
    </w:p>
    <w:p w14:paraId="0FC945F0" w14:textId="19A47BD9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lastRenderedPageBreak/>
        <w:t xml:space="preserve">Evaluación Práctica: Sumativa 2 – Construcción de un </w:t>
      </w:r>
      <w:proofErr w:type="spellStart"/>
      <w:r w:rsidRPr="00150E88">
        <w:rPr>
          <w:rFonts w:ascii="Arial" w:hAnsi="Arial" w:cs="Arial"/>
          <w:b/>
          <w:bCs/>
        </w:rPr>
        <w:t>Dashboard</w:t>
      </w:r>
      <w:proofErr w:type="spellEnd"/>
      <w:r w:rsidRPr="00150E88">
        <w:rPr>
          <w:rFonts w:ascii="Arial" w:hAnsi="Arial" w:cs="Arial"/>
          <w:b/>
          <w:bCs/>
        </w:rPr>
        <w:t xml:space="preserve"> </w:t>
      </w:r>
    </w:p>
    <w:p w14:paraId="378CD271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Dominio de Negocio:</w:t>
      </w:r>
      <w:r w:rsidRPr="00150E88">
        <w:rPr>
          <w:rFonts w:ascii="Arial" w:hAnsi="Arial" w:cs="Arial"/>
        </w:rPr>
        <w:t xml:space="preserve"> </w:t>
      </w:r>
      <w:proofErr w:type="spellStart"/>
      <w:r w:rsidRPr="00150E88">
        <w:rPr>
          <w:rFonts w:ascii="Arial" w:hAnsi="Arial" w:cs="Arial"/>
        </w:rPr>
        <w:t>Retail</w:t>
      </w:r>
      <w:proofErr w:type="spellEnd"/>
      <w:r w:rsidRPr="00150E88">
        <w:rPr>
          <w:rFonts w:ascii="Arial" w:hAnsi="Arial" w:cs="Arial"/>
        </w:rPr>
        <w:t xml:space="preserve"> Comercial Multirregional</w:t>
      </w:r>
    </w:p>
    <w:p w14:paraId="3072131E" w14:textId="77777777" w:rsid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Herramientas:</w:t>
      </w:r>
      <w:r w:rsidRPr="00150E88">
        <w:rPr>
          <w:rFonts w:ascii="Arial" w:hAnsi="Arial" w:cs="Arial"/>
        </w:rPr>
        <w:t xml:space="preserve"> Python (pandas, </w:t>
      </w:r>
      <w:proofErr w:type="spellStart"/>
      <w:r w:rsidRPr="00150E88">
        <w:rPr>
          <w:rFonts w:ascii="Arial" w:hAnsi="Arial" w:cs="Arial"/>
        </w:rPr>
        <w:t>Plotly</w:t>
      </w:r>
      <w:proofErr w:type="spellEnd"/>
      <w:r w:rsidRPr="00150E88">
        <w:rPr>
          <w:rFonts w:ascii="Arial" w:hAnsi="Arial" w:cs="Arial"/>
        </w:rPr>
        <w:t xml:space="preserve"> Express) y </w:t>
      </w:r>
      <w:proofErr w:type="spellStart"/>
      <w:r w:rsidRPr="00150E88">
        <w:rPr>
          <w:rFonts w:ascii="Arial" w:hAnsi="Arial" w:cs="Arial"/>
        </w:rPr>
        <w:t>Streamlit</w:t>
      </w:r>
      <w:proofErr w:type="spellEnd"/>
    </w:p>
    <w:p w14:paraId="0B641E5A" w14:textId="77777777" w:rsidR="00150E88" w:rsidRPr="00150E88" w:rsidRDefault="00150E88" w:rsidP="00150E88">
      <w:pPr>
        <w:pStyle w:val="Estilo4"/>
        <w:rPr>
          <w:rFonts w:ascii="Arial" w:hAnsi="Arial" w:cs="Arial"/>
        </w:rPr>
      </w:pPr>
    </w:p>
    <w:p w14:paraId="2354261D" w14:textId="77777777" w:rsidR="00150E88" w:rsidRPr="00150E88" w:rsidRDefault="00150E88" w:rsidP="00150E88">
      <w:pPr>
        <w:pStyle w:val="Estilo4"/>
        <w:rPr>
          <w:rFonts w:ascii="Arial" w:hAnsi="Arial" w:cs="Arial"/>
          <w:b/>
          <w:bCs/>
          <w:sz w:val="28"/>
          <w:szCs w:val="28"/>
        </w:rPr>
      </w:pPr>
      <w:r w:rsidRPr="00150E88">
        <w:rPr>
          <w:rFonts w:ascii="Arial" w:hAnsi="Arial" w:cs="Arial"/>
          <w:b/>
          <w:bCs/>
          <w:sz w:val="28"/>
          <w:szCs w:val="28"/>
        </w:rPr>
        <w:t xml:space="preserve">1. Resumen de </w:t>
      </w:r>
      <w:proofErr w:type="spellStart"/>
      <w:r w:rsidRPr="00150E88">
        <w:rPr>
          <w:rFonts w:ascii="Arial" w:hAnsi="Arial" w:cs="Arial"/>
          <w:b/>
          <w:bCs/>
          <w:sz w:val="28"/>
          <w:szCs w:val="28"/>
        </w:rPr>
        <w:t>KPIs</w:t>
      </w:r>
      <w:proofErr w:type="spellEnd"/>
      <w:r w:rsidRPr="00150E88">
        <w:rPr>
          <w:rFonts w:ascii="Arial" w:hAnsi="Arial" w:cs="Arial"/>
          <w:b/>
          <w:bCs/>
          <w:sz w:val="28"/>
          <w:szCs w:val="28"/>
        </w:rPr>
        <w:t xml:space="preserve"> Generales del Negocio</w:t>
      </w:r>
    </w:p>
    <w:p w14:paraId="6E46F38F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>A partir del procesamiento y consolidación del conjunto de datos analizado en el entorno interactivo, se levantaron los siguientes indicadores base:</w:t>
      </w:r>
    </w:p>
    <w:p w14:paraId="32FAAAAA" w14:textId="77777777" w:rsidR="00150E88" w:rsidRPr="00150E88" w:rsidRDefault="00150E88" w:rsidP="00150E88">
      <w:pPr>
        <w:pStyle w:val="Estilo4"/>
        <w:numPr>
          <w:ilvl w:val="0"/>
          <w:numId w:val="18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Ventas Totales Netas:</w:t>
      </w:r>
      <w:r w:rsidRPr="00150E88">
        <w:rPr>
          <w:rFonts w:ascii="Arial" w:hAnsi="Arial" w:cs="Arial"/>
        </w:rPr>
        <w:t xml:space="preserve"> $359.564.100 CLP</w:t>
      </w:r>
    </w:p>
    <w:p w14:paraId="5571FD05" w14:textId="77777777" w:rsidR="00150E88" w:rsidRPr="00150E88" w:rsidRDefault="00150E88" w:rsidP="00150E88">
      <w:pPr>
        <w:pStyle w:val="Estilo4"/>
        <w:numPr>
          <w:ilvl w:val="0"/>
          <w:numId w:val="18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Volumen de Transacciones:</w:t>
      </w:r>
      <w:r w:rsidRPr="00150E88">
        <w:rPr>
          <w:rFonts w:ascii="Arial" w:hAnsi="Arial" w:cs="Arial"/>
        </w:rPr>
        <w:t xml:space="preserve"> 200 operaciones</w:t>
      </w:r>
    </w:p>
    <w:p w14:paraId="11048AAD" w14:textId="77777777" w:rsidR="00150E88" w:rsidRPr="00150E88" w:rsidRDefault="00150E88" w:rsidP="00150E88">
      <w:pPr>
        <w:pStyle w:val="Estilo4"/>
        <w:numPr>
          <w:ilvl w:val="0"/>
          <w:numId w:val="18"/>
        </w:numPr>
        <w:rPr>
          <w:rFonts w:ascii="Arial" w:hAnsi="Arial" w:cs="Arial"/>
        </w:rPr>
      </w:pPr>
      <w:proofErr w:type="gramStart"/>
      <w:r w:rsidRPr="00150E88">
        <w:rPr>
          <w:rFonts w:ascii="Arial" w:hAnsi="Arial" w:cs="Arial"/>
          <w:b/>
          <w:bCs/>
        </w:rPr>
        <w:t>Ticket</w:t>
      </w:r>
      <w:proofErr w:type="gramEnd"/>
      <w:r w:rsidRPr="00150E88">
        <w:rPr>
          <w:rFonts w:ascii="Arial" w:hAnsi="Arial" w:cs="Arial"/>
          <w:b/>
          <w:bCs/>
        </w:rPr>
        <w:t xml:space="preserve"> Promedio por Venta:</w:t>
      </w:r>
      <w:r w:rsidRPr="00150E88">
        <w:rPr>
          <w:rFonts w:ascii="Arial" w:hAnsi="Arial" w:cs="Arial"/>
        </w:rPr>
        <w:t xml:space="preserve"> $1.797.820 CLP</w:t>
      </w:r>
    </w:p>
    <w:p w14:paraId="7648CADD" w14:textId="77777777" w:rsidR="00150E88" w:rsidRDefault="00150E88" w:rsidP="00150E88">
      <w:pPr>
        <w:pStyle w:val="Estilo4"/>
        <w:numPr>
          <w:ilvl w:val="0"/>
          <w:numId w:val="18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Nivel de Satisfacción de Clientes:</w:t>
      </w:r>
      <w:r w:rsidRPr="00150E88">
        <w:rPr>
          <w:rFonts w:ascii="Arial" w:hAnsi="Arial" w:cs="Arial"/>
        </w:rPr>
        <w:t xml:space="preserve"> 8.7 / 10</w:t>
      </w:r>
    </w:p>
    <w:p w14:paraId="1427EB48" w14:textId="77777777" w:rsidR="00150E88" w:rsidRPr="00150E88" w:rsidRDefault="00150E88" w:rsidP="00150E88">
      <w:pPr>
        <w:pStyle w:val="Estilo4"/>
        <w:ind w:left="720"/>
        <w:rPr>
          <w:rFonts w:ascii="Arial" w:hAnsi="Arial" w:cs="Arial"/>
        </w:rPr>
      </w:pPr>
    </w:p>
    <w:p w14:paraId="619B6D14" w14:textId="77777777" w:rsidR="00150E88" w:rsidRPr="00150E88" w:rsidRDefault="00150E88" w:rsidP="00150E88">
      <w:pPr>
        <w:pStyle w:val="Estilo4"/>
        <w:rPr>
          <w:rFonts w:ascii="Arial" w:hAnsi="Arial" w:cs="Arial"/>
          <w:b/>
          <w:bCs/>
          <w:sz w:val="28"/>
          <w:szCs w:val="28"/>
        </w:rPr>
      </w:pPr>
      <w:r w:rsidRPr="00150E88">
        <w:rPr>
          <w:rFonts w:ascii="Arial" w:hAnsi="Arial" w:cs="Arial"/>
          <w:b/>
          <w:bCs/>
          <w:sz w:val="28"/>
          <w:szCs w:val="28"/>
        </w:rPr>
        <w:t>2. Hallazgos Clave del Negocio (</w:t>
      </w:r>
      <w:proofErr w:type="spellStart"/>
      <w:r w:rsidRPr="00150E88">
        <w:rPr>
          <w:rFonts w:ascii="Arial" w:hAnsi="Arial" w:cs="Arial"/>
          <w:b/>
          <w:bCs/>
          <w:sz w:val="28"/>
          <w:szCs w:val="28"/>
        </w:rPr>
        <w:t>Insights</w:t>
      </w:r>
      <w:proofErr w:type="spellEnd"/>
      <w:r w:rsidRPr="00150E88">
        <w:rPr>
          <w:rFonts w:ascii="Arial" w:hAnsi="Arial" w:cs="Arial"/>
          <w:b/>
          <w:bCs/>
          <w:sz w:val="28"/>
          <w:szCs w:val="28"/>
        </w:rPr>
        <w:t>)</w:t>
      </w:r>
    </w:p>
    <w:p w14:paraId="22B48E94" w14:textId="77777777" w:rsidR="00150E88" w:rsidRPr="00150E88" w:rsidRDefault="00150E88" w:rsidP="00150E88">
      <w:pPr>
        <w:pStyle w:val="Estilo4"/>
        <w:numPr>
          <w:ilvl w:val="0"/>
          <w:numId w:val="19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Hallazgo 1: Concentración de facturación en la categoría Electrónica</w:t>
      </w:r>
    </w:p>
    <w:p w14:paraId="03CE9657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El análisis dimensional por catálogo demuestra que la categoría </w:t>
      </w:r>
      <w:r w:rsidRPr="00150E88">
        <w:rPr>
          <w:rFonts w:ascii="Arial" w:hAnsi="Arial" w:cs="Arial"/>
          <w:b/>
          <w:bCs/>
        </w:rPr>
        <w:t>Electrónica</w:t>
      </w:r>
      <w:r w:rsidRPr="00150E88">
        <w:rPr>
          <w:rFonts w:ascii="Arial" w:hAnsi="Arial" w:cs="Arial"/>
        </w:rPr>
        <w:t xml:space="preserve"> es el principal motor de liquidez y facturación de la organización, sumando </w:t>
      </w:r>
      <w:r w:rsidRPr="00150E88">
        <w:rPr>
          <w:rFonts w:ascii="Arial" w:hAnsi="Arial" w:cs="Arial"/>
          <w:b/>
          <w:bCs/>
        </w:rPr>
        <w:t>$229.624.350 CLP</w:t>
      </w:r>
      <w:r w:rsidRPr="00150E88">
        <w:rPr>
          <w:rFonts w:ascii="Arial" w:hAnsi="Arial" w:cs="Arial"/>
        </w:rPr>
        <w:t xml:space="preserve"> (representando aproximadamente el 63.8% de las ventas totales). En contraste, categorías tradicionales como </w:t>
      </w:r>
      <w:r w:rsidRPr="00150E88">
        <w:rPr>
          <w:rFonts w:ascii="Arial" w:hAnsi="Arial" w:cs="Arial"/>
          <w:b/>
          <w:bCs/>
        </w:rPr>
        <w:t>Hogar</w:t>
      </w:r>
      <w:r w:rsidRPr="00150E88">
        <w:rPr>
          <w:rFonts w:ascii="Arial" w:hAnsi="Arial" w:cs="Arial"/>
        </w:rPr>
        <w:t xml:space="preserve"> ($71.6M CLP), </w:t>
      </w:r>
      <w:r w:rsidRPr="00150E88">
        <w:rPr>
          <w:rFonts w:ascii="Arial" w:hAnsi="Arial" w:cs="Arial"/>
          <w:b/>
          <w:bCs/>
        </w:rPr>
        <w:t>Ropa</w:t>
      </w:r>
      <w:r w:rsidRPr="00150E88">
        <w:rPr>
          <w:rFonts w:ascii="Arial" w:hAnsi="Arial" w:cs="Arial"/>
        </w:rPr>
        <w:t xml:space="preserve"> ($40.0M CLP) y </w:t>
      </w:r>
      <w:r w:rsidRPr="00150E88">
        <w:rPr>
          <w:rFonts w:ascii="Arial" w:hAnsi="Arial" w:cs="Arial"/>
          <w:b/>
          <w:bCs/>
        </w:rPr>
        <w:t>Alimentos</w:t>
      </w:r>
      <w:r w:rsidRPr="00150E88">
        <w:rPr>
          <w:rFonts w:ascii="Arial" w:hAnsi="Arial" w:cs="Arial"/>
        </w:rPr>
        <w:t xml:space="preserve"> ($18.3M CLP) registran volúmenes sustancialmente menores, evidenciando una alta dependencia comercial de los dispositivos de </w:t>
      </w:r>
      <w:proofErr w:type="gramStart"/>
      <w:r w:rsidRPr="00150E88">
        <w:rPr>
          <w:rFonts w:ascii="Arial" w:hAnsi="Arial" w:cs="Arial"/>
        </w:rPr>
        <w:t>ticket</w:t>
      </w:r>
      <w:proofErr w:type="gramEnd"/>
      <w:r w:rsidRPr="00150E88">
        <w:rPr>
          <w:rFonts w:ascii="Arial" w:hAnsi="Arial" w:cs="Arial"/>
        </w:rPr>
        <w:t xml:space="preserve"> elevado.</w:t>
      </w:r>
    </w:p>
    <w:p w14:paraId="276A4187" w14:textId="77777777" w:rsidR="00150E88" w:rsidRPr="00150E88" w:rsidRDefault="00150E88" w:rsidP="00150E88">
      <w:pPr>
        <w:pStyle w:val="Estilo4"/>
        <w:numPr>
          <w:ilvl w:val="0"/>
          <w:numId w:val="19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Hallazgo 2: Mayor rentabilidad y eficiencia en el Canal Online</w:t>
      </w:r>
    </w:p>
    <w:p w14:paraId="32609B2E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Aunque las transacciones se distribuyen equilibradamente entre puntos físicos y comercio electrónico, el </w:t>
      </w:r>
      <w:r w:rsidRPr="00150E88">
        <w:rPr>
          <w:rFonts w:ascii="Arial" w:hAnsi="Arial" w:cs="Arial"/>
          <w:b/>
          <w:bCs/>
        </w:rPr>
        <w:t>Canal Online genera un margen neto significativamente mayor ($70.720.200 CLP)</w:t>
      </w:r>
      <w:r w:rsidRPr="00150E88">
        <w:rPr>
          <w:rFonts w:ascii="Arial" w:hAnsi="Arial" w:cs="Arial"/>
        </w:rPr>
        <w:t xml:space="preserve"> en comparación con el canal Presencial ($63.358.350 CLP). Esto evidencia una estructura de costos más eficiente en las ventas digitales y un </w:t>
      </w:r>
      <w:proofErr w:type="gramStart"/>
      <w:r w:rsidRPr="00150E88">
        <w:rPr>
          <w:rFonts w:ascii="Arial" w:hAnsi="Arial" w:cs="Arial"/>
        </w:rPr>
        <w:t>ticket</w:t>
      </w:r>
      <w:proofErr w:type="gramEnd"/>
      <w:r w:rsidRPr="00150E88">
        <w:rPr>
          <w:rFonts w:ascii="Arial" w:hAnsi="Arial" w:cs="Arial"/>
        </w:rPr>
        <w:t xml:space="preserve"> promedio más favorable al no intermediar comisiones operativas de piso.</w:t>
      </w:r>
    </w:p>
    <w:p w14:paraId="3F2E03F6" w14:textId="77777777" w:rsidR="00150E88" w:rsidRPr="00150E88" w:rsidRDefault="00150E88" w:rsidP="00150E88">
      <w:pPr>
        <w:pStyle w:val="Estilo4"/>
        <w:numPr>
          <w:ilvl w:val="0"/>
          <w:numId w:val="19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Hallazgo 3: Disparidad de satisfacción y desempeño territorial</w:t>
      </w:r>
    </w:p>
    <w:p w14:paraId="635ABC72" w14:textId="77777777" w:rsid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La </w:t>
      </w:r>
      <w:r w:rsidRPr="00150E88">
        <w:rPr>
          <w:rFonts w:ascii="Arial" w:hAnsi="Arial" w:cs="Arial"/>
          <w:b/>
          <w:bCs/>
        </w:rPr>
        <w:t>Región Metropolitana</w:t>
      </w:r>
      <w:r w:rsidRPr="00150E88">
        <w:rPr>
          <w:rFonts w:ascii="Arial" w:hAnsi="Arial" w:cs="Arial"/>
        </w:rPr>
        <w:t xml:space="preserve"> no solo concentra el mayor volumen de ventas brutas ($120.186.450 CLP), sino también la tasa de satisfacción más alta de toda la operación con un </w:t>
      </w:r>
      <w:r w:rsidRPr="00150E88">
        <w:rPr>
          <w:rFonts w:ascii="Arial" w:hAnsi="Arial" w:cs="Arial"/>
          <w:b/>
          <w:bCs/>
        </w:rPr>
        <w:t>8.9 / 10</w:t>
      </w:r>
      <w:r w:rsidRPr="00150E88">
        <w:rPr>
          <w:rFonts w:ascii="Arial" w:hAnsi="Arial" w:cs="Arial"/>
        </w:rPr>
        <w:t xml:space="preserve">. En el extremo opuesto, plazas comerciales clave como </w:t>
      </w:r>
      <w:r w:rsidRPr="00150E88">
        <w:rPr>
          <w:rFonts w:ascii="Arial" w:hAnsi="Arial" w:cs="Arial"/>
          <w:b/>
          <w:bCs/>
        </w:rPr>
        <w:t>Valparaíso</w:t>
      </w:r>
      <w:r w:rsidRPr="00150E88">
        <w:rPr>
          <w:rFonts w:ascii="Arial" w:hAnsi="Arial" w:cs="Arial"/>
        </w:rPr>
        <w:t xml:space="preserve"> y </w:t>
      </w:r>
      <w:r w:rsidRPr="00150E88">
        <w:rPr>
          <w:rFonts w:ascii="Arial" w:hAnsi="Arial" w:cs="Arial"/>
          <w:b/>
          <w:bCs/>
        </w:rPr>
        <w:t>Biobío</w:t>
      </w:r>
      <w:r w:rsidRPr="00150E88">
        <w:rPr>
          <w:rFonts w:ascii="Arial" w:hAnsi="Arial" w:cs="Arial"/>
        </w:rPr>
        <w:t xml:space="preserve"> presentan las evaluaciones promedio más bajas (ambas en </w:t>
      </w:r>
      <w:r w:rsidRPr="00150E88">
        <w:rPr>
          <w:rFonts w:ascii="Arial" w:hAnsi="Arial" w:cs="Arial"/>
          <w:b/>
          <w:bCs/>
        </w:rPr>
        <w:t>8.48 / 10</w:t>
      </w:r>
      <w:r w:rsidRPr="00150E88">
        <w:rPr>
          <w:rFonts w:ascii="Arial" w:hAnsi="Arial" w:cs="Arial"/>
        </w:rPr>
        <w:t>), revelando deficiencias de experiencia o retrasos logísticos en zonas fuera de la capital.</w:t>
      </w:r>
    </w:p>
    <w:p w14:paraId="100C44C9" w14:textId="77777777" w:rsidR="00150E88" w:rsidRPr="00150E88" w:rsidRDefault="00150E88" w:rsidP="00150E88">
      <w:pPr>
        <w:pStyle w:val="Estilo4"/>
        <w:rPr>
          <w:rFonts w:ascii="Arial" w:hAnsi="Arial" w:cs="Arial"/>
          <w:sz w:val="28"/>
          <w:szCs w:val="28"/>
        </w:rPr>
      </w:pPr>
    </w:p>
    <w:p w14:paraId="2AFC5794" w14:textId="77777777" w:rsidR="00150E88" w:rsidRPr="00150E88" w:rsidRDefault="00150E88" w:rsidP="00150E88">
      <w:pPr>
        <w:pStyle w:val="Estilo4"/>
        <w:rPr>
          <w:rFonts w:ascii="Arial" w:hAnsi="Arial" w:cs="Arial"/>
          <w:b/>
          <w:bCs/>
          <w:sz w:val="28"/>
          <w:szCs w:val="28"/>
        </w:rPr>
      </w:pPr>
      <w:r w:rsidRPr="00150E88">
        <w:rPr>
          <w:rFonts w:ascii="Arial" w:hAnsi="Arial" w:cs="Arial"/>
          <w:b/>
          <w:bCs/>
          <w:sz w:val="28"/>
          <w:szCs w:val="28"/>
        </w:rPr>
        <w:t>3. Recomendaciones Estratégicas y Accionables</w:t>
      </w:r>
    </w:p>
    <w:p w14:paraId="2DB88D67" w14:textId="77777777" w:rsidR="00150E88" w:rsidRPr="00150E88" w:rsidRDefault="00150E88" w:rsidP="00150E88">
      <w:pPr>
        <w:pStyle w:val="Estilo4"/>
        <w:numPr>
          <w:ilvl w:val="0"/>
          <w:numId w:val="20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Recomendación 1: Reasignación presupuestaria hacia el ecosistema digital (Canal Online)</w:t>
      </w:r>
    </w:p>
    <w:p w14:paraId="1C156A95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Dado que el canal online presenta una tasa de margen bruto superior y un </w:t>
      </w:r>
      <w:proofErr w:type="gramStart"/>
      <w:r w:rsidRPr="00150E88">
        <w:rPr>
          <w:rFonts w:ascii="Arial" w:hAnsi="Arial" w:cs="Arial"/>
        </w:rPr>
        <w:t>ticket</w:t>
      </w:r>
      <w:proofErr w:type="gramEnd"/>
      <w:r w:rsidRPr="00150E88">
        <w:rPr>
          <w:rFonts w:ascii="Arial" w:hAnsi="Arial" w:cs="Arial"/>
        </w:rPr>
        <w:t xml:space="preserve"> promedio elevado en Electrónica, se recomienda </w:t>
      </w:r>
      <w:r w:rsidRPr="00150E88">
        <w:rPr>
          <w:rFonts w:ascii="Arial" w:hAnsi="Arial" w:cs="Arial"/>
          <w:b/>
          <w:bCs/>
        </w:rPr>
        <w:t>destinar un 35% del presupuesto operativo de marketing del próximo período exclusivamente a pauta y captación digital</w:t>
      </w:r>
      <w:r w:rsidRPr="00150E88">
        <w:rPr>
          <w:rFonts w:ascii="Arial" w:hAnsi="Arial" w:cs="Arial"/>
        </w:rPr>
        <w:t>. Esto debe complementarse con facilidades de financiamiento online sin interés para potenciar la rotación de artículos tecnológicos de alta gama.</w:t>
      </w:r>
    </w:p>
    <w:p w14:paraId="7CA69883" w14:textId="77777777" w:rsidR="00150E88" w:rsidRPr="00150E88" w:rsidRDefault="00150E88" w:rsidP="00150E88">
      <w:pPr>
        <w:pStyle w:val="Estilo4"/>
        <w:numPr>
          <w:ilvl w:val="0"/>
          <w:numId w:val="20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Recomendación 2: Plan de estandarización del servicio y optimización logística en regiones</w:t>
      </w:r>
    </w:p>
    <w:p w14:paraId="1E35D73F" w14:textId="77777777" w:rsid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Se aconseja implementar de manera inmediata un </w:t>
      </w:r>
      <w:r w:rsidRPr="00150E88">
        <w:rPr>
          <w:rFonts w:ascii="Arial" w:hAnsi="Arial" w:cs="Arial"/>
          <w:b/>
          <w:bCs/>
        </w:rPr>
        <w:t>plan de nivelación operacional entre la Sucursal Centro (Santiago) y las sedes de Valparaíso y Concepción (Biobío)</w:t>
      </w:r>
      <w:r w:rsidRPr="00150E88">
        <w:rPr>
          <w:rFonts w:ascii="Arial" w:hAnsi="Arial" w:cs="Arial"/>
        </w:rPr>
        <w:t>. Este plan contempla auditorías de calidad de despacho (reducir los tiempos de entrega de última milla) y la aplicación de protocolos de atención unificados para cerrar la brecha de satisfacción y elevar el índice regional de 8.4 a un estándar corporativo superior a 8.8 / 10.</w:t>
      </w:r>
    </w:p>
    <w:p w14:paraId="39DA7A5C" w14:textId="77777777" w:rsidR="00150E88" w:rsidRDefault="00150E88" w:rsidP="00150E88">
      <w:pPr>
        <w:pStyle w:val="Estilo4"/>
        <w:rPr>
          <w:rFonts w:ascii="Arial" w:hAnsi="Arial" w:cs="Arial"/>
        </w:rPr>
      </w:pPr>
    </w:p>
    <w:p w14:paraId="2583A92C" w14:textId="77777777" w:rsidR="00150E88" w:rsidRPr="00150E88" w:rsidRDefault="00150E88" w:rsidP="00150E88">
      <w:pPr>
        <w:pStyle w:val="Estilo4"/>
        <w:rPr>
          <w:rFonts w:ascii="Arial" w:hAnsi="Arial" w:cs="Arial"/>
        </w:rPr>
      </w:pPr>
    </w:p>
    <w:p w14:paraId="128F56E5" w14:textId="77777777" w:rsidR="00150E88" w:rsidRPr="00150E88" w:rsidRDefault="00150E88" w:rsidP="00150E88">
      <w:pPr>
        <w:pStyle w:val="Estilo4"/>
        <w:rPr>
          <w:rFonts w:ascii="Arial" w:hAnsi="Arial" w:cs="Arial"/>
          <w:b/>
          <w:bCs/>
          <w:sz w:val="28"/>
          <w:szCs w:val="28"/>
        </w:rPr>
      </w:pPr>
      <w:r w:rsidRPr="00150E88">
        <w:rPr>
          <w:rFonts w:ascii="Arial" w:hAnsi="Arial" w:cs="Arial"/>
          <w:b/>
          <w:bCs/>
          <w:sz w:val="28"/>
          <w:szCs w:val="28"/>
        </w:rPr>
        <w:lastRenderedPageBreak/>
        <w:t>4. Declaración de Ética y Origen de los Datos (Criterio 2.1.5)</w:t>
      </w:r>
    </w:p>
    <w:p w14:paraId="20053BDA" w14:textId="77777777" w:rsidR="00150E88" w:rsidRPr="00150E88" w:rsidRDefault="00150E88" w:rsidP="00150E88">
      <w:pPr>
        <w:pStyle w:val="Estilo4"/>
        <w:numPr>
          <w:ilvl w:val="0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Origen de los Datos y Licenciamiento:</w:t>
      </w:r>
    </w:p>
    <w:p w14:paraId="03D5D791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>Los registros utilizados provienen de una base de datos operativa y transaccional interna estructurada en formato tabular CSV (ventas.csv). La extracción y tratamiento de esta información se realizaron exclusivamente con propósitos formativos y de inteligencia de negocios bajo principios de uso legítimo y educativo.</w:t>
      </w:r>
    </w:p>
    <w:p w14:paraId="3DBB8016" w14:textId="77777777" w:rsidR="00150E88" w:rsidRPr="00150E88" w:rsidRDefault="00150E88" w:rsidP="00150E88">
      <w:pPr>
        <w:pStyle w:val="Estilo4"/>
        <w:numPr>
          <w:ilvl w:val="0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Anonimización y Privacidad:</w:t>
      </w:r>
    </w:p>
    <w:p w14:paraId="5D2D9E7D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En estricto apego a las buenas prácticas de gobernanza de la información y normativas de protección de datos personales, </w:t>
      </w:r>
      <w:r w:rsidRPr="00150E88">
        <w:rPr>
          <w:rFonts w:ascii="Arial" w:hAnsi="Arial" w:cs="Arial"/>
          <w:b/>
          <w:bCs/>
        </w:rPr>
        <w:t>se eliminó todo registro identificatorio directo de personas naturales</w:t>
      </w:r>
      <w:r w:rsidRPr="00150E88">
        <w:rPr>
          <w:rFonts w:ascii="Arial" w:hAnsi="Arial" w:cs="Arial"/>
        </w:rPr>
        <w:t xml:space="preserve"> (como RUT, domicilios particulares o números de teléfono). Los nombres de clientes y colaboradores asociados a las órdenes son de carácter sintético o se limitan a códigos de gestión de sucursal, evitando cualquier riesgo de </w:t>
      </w:r>
      <w:proofErr w:type="spellStart"/>
      <w:r w:rsidRPr="00150E88">
        <w:rPr>
          <w:rFonts w:ascii="Arial" w:hAnsi="Arial" w:cs="Arial"/>
        </w:rPr>
        <w:t>reidentificación</w:t>
      </w:r>
      <w:proofErr w:type="spellEnd"/>
      <w:r w:rsidRPr="00150E88">
        <w:rPr>
          <w:rFonts w:ascii="Arial" w:hAnsi="Arial" w:cs="Arial"/>
        </w:rPr>
        <w:t xml:space="preserve"> o exposición de información sensible.</w:t>
      </w:r>
    </w:p>
    <w:p w14:paraId="3A25FABA" w14:textId="77777777" w:rsidR="00150E88" w:rsidRPr="00150E88" w:rsidRDefault="00150E88" w:rsidP="00150E88">
      <w:pPr>
        <w:pStyle w:val="Estilo4"/>
        <w:numPr>
          <w:ilvl w:val="0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  <w:b/>
          <w:bCs/>
        </w:rPr>
        <w:t>Transparencia e Integridad Visual (No Manipulación):</w:t>
      </w:r>
    </w:p>
    <w:p w14:paraId="5E1078D3" w14:textId="77777777" w:rsidR="00150E88" w:rsidRPr="00150E88" w:rsidRDefault="00150E88" w:rsidP="00150E88">
      <w:pPr>
        <w:pStyle w:val="Estilo4"/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El diseño visual del </w:t>
      </w:r>
      <w:proofErr w:type="spellStart"/>
      <w:r w:rsidRPr="00150E88">
        <w:rPr>
          <w:rFonts w:ascii="Arial" w:hAnsi="Arial" w:cs="Arial"/>
        </w:rPr>
        <w:t>dashboard</w:t>
      </w:r>
      <w:proofErr w:type="spellEnd"/>
      <w:r w:rsidRPr="00150E88">
        <w:rPr>
          <w:rFonts w:ascii="Arial" w:hAnsi="Arial" w:cs="Arial"/>
        </w:rPr>
        <w:t xml:space="preserve"> respeta rigurosamente el criterio de objetividad analítica:</w:t>
      </w:r>
    </w:p>
    <w:p w14:paraId="38F82CE4" w14:textId="77777777" w:rsidR="00150E88" w:rsidRPr="00150E88" w:rsidRDefault="00150E88" w:rsidP="00150E88">
      <w:pPr>
        <w:pStyle w:val="Estilo4"/>
        <w:numPr>
          <w:ilvl w:val="1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</w:rPr>
        <w:t>Ningún gráfico utiliza escalas truncadas ni supresión arbitraria de ejes cartesianos (los ejes cuantitativos inician siempre en el valor base cero).</w:t>
      </w:r>
    </w:p>
    <w:p w14:paraId="23DEF26F" w14:textId="77777777" w:rsidR="00150E88" w:rsidRPr="00150E88" w:rsidRDefault="00150E88" w:rsidP="00150E88">
      <w:pPr>
        <w:pStyle w:val="Estilo4"/>
        <w:numPr>
          <w:ilvl w:val="1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</w:rPr>
        <w:t xml:space="preserve">Las paletas cromáticas asignadas preservan el contraste visual accesible y no inducen sesgos </w:t>
      </w:r>
      <w:proofErr w:type="spellStart"/>
      <w:r w:rsidRPr="00150E88">
        <w:rPr>
          <w:rFonts w:ascii="Arial" w:hAnsi="Arial" w:cs="Arial"/>
        </w:rPr>
        <w:t>preatentivos</w:t>
      </w:r>
      <w:proofErr w:type="spellEnd"/>
      <w:r w:rsidRPr="00150E88">
        <w:rPr>
          <w:rFonts w:ascii="Arial" w:hAnsi="Arial" w:cs="Arial"/>
        </w:rPr>
        <w:t xml:space="preserve"> engañosos para destacar u ocultar variaciones reales en el rendimiento.</w:t>
      </w:r>
    </w:p>
    <w:p w14:paraId="3B074A5E" w14:textId="77777777" w:rsidR="00150E88" w:rsidRPr="00150E88" w:rsidRDefault="00150E88" w:rsidP="00150E88">
      <w:pPr>
        <w:pStyle w:val="Estilo4"/>
        <w:numPr>
          <w:ilvl w:val="1"/>
          <w:numId w:val="21"/>
        </w:numPr>
        <w:rPr>
          <w:rFonts w:ascii="Arial" w:hAnsi="Arial" w:cs="Arial"/>
        </w:rPr>
      </w:pPr>
      <w:r w:rsidRPr="00150E88">
        <w:rPr>
          <w:rFonts w:ascii="Arial" w:hAnsi="Arial" w:cs="Arial"/>
        </w:rPr>
        <w:t>Las métricas e indicadores corresponden al cómputo real y trazable de la información sin distorsión de cifras para favorecer una toma de decisiones responsable y fundamentada.</w:t>
      </w:r>
    </w:p>
    <w:p w14:paraId="366E8972" w14:textId="77777777" w:rsidR="00150E88" w:rsidRPr="00150E88" w:rsidRDefault="00150E88" w:rsidP="00150E88">
      <w:pPr>
        <w:pStyle w:val="Estilo4"/>
        <w:rPr>
          <w:rFonts w:ascii="Arial" w:hAnsi="Arial" w:cs="Arial"/>
        </w:rPr>
      </w:pPr>
    </w:p>
    <w:p w14:paraId="2D039458" w14:textId="77777777" w:rsidR="0079300B" w:rsidRPr="00150E88" w:rsidRDefault="0079300B" w:rsidP="00150E88">
      <w:pPr>
        <w:pStyle w:val="Estilo4"/>
        <w:rPr>
          <w:rFonts w:ascii="Arial" w:hAnsi="Arial" w:cs="Arial"/>
          <w:b/>
        </w:rPr>
      </w:pPr>
    </w:p>
    <w:p w14:paraId="2D03947B" w14:textId="0F9C1139" w:rsidR="007C089F" w:rsidRPr="0054299C" w:rsidRDefault="007C089F" w:rsidP="00150E88">
      <w:pPr>
        <w:spacing w:after="0" w:line="288" w:lineRule="auto"/>
        <w:jc w:val="both"/>
        <w:rPr>
          <w:color w:val="A6A6A6" w:themeColor="background1" w:themeShade="A6"/>
          <w:sz w:val="24"/>
        </w:rPr>
      </w:pPr>
    </w:p>
    <w:sectPr w:rsidR="007C089F" w:rsidRPr="0054299C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3110" w14:textId="77777777" w:rsidR="00F723F5" w:rsidRDefault="00F723F5">
      <w:pPr>
        <w:spacing w:after="0" w:line="240" w:lineRule="auto"/>
      </w:pPr>
      <w:r>
        <w:separator/>
      </w:r>
    </w:p>
  </w:endnote>
  <w:endnote w:type="continuationSeparator" w:id="0">
    <w:p w14:paraId="35EF536F" w14:textId="77777777" w:rsidR="00F723F5" w:rsidRDefault="00F72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9" w14:textId="77777777" w:rsidR="0054299C" w:rsidRDefault="0054299C" w:rsidP="0054299C">
    <w:pPr>
      <w:pStyle w:val="Piedepgina"/>
      <w:jc w:val="center"/>
    </w:pPr>
    <w:r w:rsidRPr="003B2D58">
      <w:rPr>
        <w:sz w:val="20"/>
      </w:rPr>
      <w:t>Nombre del informe</w:t>
    </w:r>
  </w:p>
  <w:p w14:paraId="2D03948A" w14:textId="260F04B9" w:rsidR="007C089F" w:rsidRPr="00C539A7" w:rsidRDefault="00000000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2E12CB" w:rsidRPr="002E12CB">
          <w:rPr>
            <w:noProof/>
            <w:lang w:val="es-ES"/>
          </w:rPr>
          <w:t>4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03948F" wp14:editId="2D039490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5C34EB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FF3F" w14:textId="77777777" w:rsidR="00F723F5" w:rsidRDefault="00F723F5">
      <w:pPr>
        <w:spacing w:after="0" w:line="240" w:lineRule="auto"/>
      </w:pPr>
      <w:r>
        <w:separator/>
      </w:r>
    </w:p>
  </w:footnote>
  <w:footnote w:type="continuationSeparator" w:id="0">
    <w:p w14:paraId="2AFA5F82" w14:textId="77777777" w:rsidR="00F723F5" w:rsidRDefault="00F72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8" w14:textId="77777777" w:rsidR="007C089F" w:rsidRDefault="0079300B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2D03948D" wp14:editId="2D03948E">
          <wp:simplePos x="0" y="0"/>
          <wp:positionH relativeFrom="margin">
            <wp:align>right</wp:align>
          </wp:positionH>
          <wp:positionV relativeFrom="page">
            <wp:posOffset>283845</wp:posOffset>
          </wp:positionV>
          <wp:extent cx="2991600" cy="399600"/>
          <wp:effectExtent l="0" t="0" r="0" b="635"/>
          <wp:wrapNone/>
          <wp:docPr id="2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600" cy="39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73B942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1312"/>
    <w:multiLevelType w:val="multilevel"/>
    <w:tmpl w:val="85C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774F9"/>
    <w:multiLevelType w:val="multilevel"/>
    <w:tmpl w:val="879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56032F"/>
    <w:multiLevelType w:val="hybridMultilevel"/>
    <w:tmpl w:val="1302845A"/>
    <w:lvl w:ilvl="0" w:tplc="E596508A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890140"/>
    <w:multiLevelType w:val="multilevel"/>
    <w:tmpl w:val="5F3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237247"/>
    <w:multiLevelType w:val="multilevel"/>
    <w:tmpl w:val="AC5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49710">
    <w:abstractNumId w:val="7"/>
  </w:num>
  <w:num w:numId="2" w16cid:durableId="169411445">
    <w:abstractNumId w:val="10"/>
  </w:num>
  <w:num w:numId="3" w16cid:durableId="1161964954">
    <w:abstractNumId w:val="0"/>
  </w:num>
  <w:num w:numId="4" w16cid:durableId="1619527327">
    <w:abstractNumId w:val="12"/>
  </w:num>
  <w:num w:numId="5" w16cid:durableId="1241217475">
    <w:abstractNumId w:val="8"/>
  </w:num>
  <w:num w:numId="6" w16cid:durableId="240215816">
    <w:abstractNumId w:val="5"/>
  </w:num>
  <w:num w:numId="7" w16cid:durableId="1568953253">
    <w:abstractNumId w:val="5"/>
    <w:lvlOverride w:ilvl="0">
      <w:startOverride w:val="1"/>
    </w:lvlOverride>
  </w:num>
  <w:num w:numId="8" w16cid:durableId="1926300922">
    <w:abstractNumId w:val="4"/>
  </w:num>
  <w:num w:numId="9" w16cid:durableId="1420372478">
    <w:abstractNumId w:val="2"/>
  </w:num>
  <w:num w:numId="10" w16cid:durableId="1982883797">
    <w:abstractNumId w:val="1"/>
  </w:num>
  <w:num w:numId="11" w16cid:durableId="379717953">
    <w:abstractNumId w:val="1"/>
  </w:num>
  <w:num w:numId="12" w16cid:durableId="1538736240">
    <w:abstractNumId w:val="1"/>
  </w:num>
  <w:num w:numId="13" w16cid:durableId="871109495">
    <w:abstractNumId w:val="9"/>
  </w:num>
  <w:num w:numId="14" w16cid:durableId="183400724">
    <w:abstractNumId w:val="9"/>
  </w:num>
  <w:num w:numId="15" w16cid:durableId="684983083">
    <w:abstractNumId w:val="9"/>
  </w:num>
  <w:num w:numId="16" w16cid:durableId="661278222">
    <w:abstractNumId w:val="9"/>
  </w:num>
  <w:num w:numId="17" w16cid:durableId="568923052">
    <w:abstractNumId w:val="9"/>
  </w:num>
  <w:num w:numId="18" w16cid:durableId="1407341707">
    <w:abstractNumId w:val="13"/>
  </w:num>
  <w:num w:numId="19" w16cid:durableId="1112895777">
    <w:abstractNumId w:val="6"/>
  </w:num>
  <w:num w:numId="20" w16cid:durableId="722294309">
    <w:abstractNumId w:val="11"/>
  </w:num>
  <w:num w:numId="21" w16cid:durableId="2140103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94556"/>
    <w:rsid w:val="000E0636"/>
    <w:rsid w:val="000F35B0"/>
    <w:rsid w:val="001232D5"/>
    <w:rsid w:val="00124CD0"/>
    <w:rsid w:val="00136778"/>
    <w:rsid w:val="00150E88"/>
    <w:rsid w:val="0017362F"/>
    <w:rsid w:val="0028236D"/>
    <w:rsid w:val="0028662D"/>
    <w:rsid w:val="002D2340"/>
    <w:rsid w:val="002E12CB"/>
    <w:rsid w:val="003B2D58"/>
    <w:rsid w:val="003E6F1C"/>
    <w:rsid w:val="00426DE8"/>
    <w:rsid w:val="004A238C"/>
    <w:rsid w:val="004B42BB"/>
    <w:rsid w:val="004C10E6"/>
    <w:rsid w:val="004D4368"/>
    <w:rsid w:val="0054299C"/>
    <w:rsid w:val="00546AB1"/>
    <w:rsid w:val="00553226"/>
    <w:rsid w:val="00650879"/>
    <w:rsid w:val="00654ED9"/>
    <w:rsid w:val="006D2C87"/>
    <w:rsid w:val="006D2E34"/>
    <w:rsid w:val="006D74C6"/>
    <w:rsid w:val="00771666"/>
    <w:rsid w:val="0079300B"/>
    <w:rsid w:val="007A298F"/>
    <w:rsid w:val="007C089F"/>
    <w:rsid w:val="007D475E"/>
    <w:rsid w:val="00812C89"/>
    <w:rsid w:val="00860573"/>
    <w:rsid w:val="008B169A"/>
    <w:rsid w:val="008E0EFF"/>
    <w:rsid w:val="00A103AE"/>
    <w:rsid w:val="00A27640"/>
    <w:rsid w:val="00A44BDF"/>
    <w:rsid w:val="00AB4EC6"/>
    <w:rsid w:val="00AC3BE6"/>
    <w:rsid w:val="00AD6DCF"/>
    <w:rsid w:val="00B119BB"/>
    <w:rsid w:val="00C23505"/>
    <w:rsid w:val="00CB65EA"/>
    <w:rsid w:val="00D17B7D"/>
    <w:rsid w:val="00DB69A2"/>
    <w:rsid w:val="00DC0E65"/>
    <w:rsid w:val="00E12E22"/>
    <w:rsid w:val="00E32092"/>
    <w:rsid w:val="00E41AF3"/>
    <w:rsid w:val="00E64396"/>
    <w:rsid w:val="00E66AEB"/>
    <w:rsid w:val="00EE2497"/>
    <w:rsid w:val="00EF5A12"/>
    <w:rsid w:val="00F723F5"/>
    <w:rsid w:val="00F91CD8"/>
    <w:rsid w:val="00FA1EB7"/>
    <w:rsid w:val="00FC05A7"/>
    <w:rsid w:val="00FC0FDD"/>
    <w:rsid w:val="00FD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54299C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54299C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C5872E-26D1-4A8D-B16D-2F20BD43D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72D7F-AE84-4FE0-BC05-140CDDABF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GIANINA AYLEN MENDEZ PARADA</cp:lastModifiedBy>
  <cp:revision>2</cp:revision>
  <dcterms:created xsi:type="dcterms:W3CDTF">2026-10-21T02:04:00Z</dcterms:created>
  <dcterms:modified xsi:type="dcterms:W3CDTF">2026-10-21T02:04:00Z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