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547FEA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547FEA">
        <w:rPr>
          <w:sz w:val="24"/>
          <w:szCs w:val="24"/>
        </w:rPr>
        <w:t>F201SV imp.1200/2</w:t>
      </w:r>
      <w:r w:rsidR="00D12E88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547FE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547FEA">
        <w:t>della valvola di cui sopra, l’esercizio lamentava che la stessa in sala controllo risultava aperta mentre in campo era chiusa. Da un’attenta analisi si è riscontrato un malfunzionamento della barriera a retroquadro. Una volta provveduto alla sostituzione, la valvola è rientrata nelle sue funzioni di normale funzionalità ed è stata consegnata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547FEA">
        <w:rPr>
          <w:sz w:val="24"/>
          <w:szCs w:val="24"/>
        </w:rPr>
        <w:t>5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547FEA"/>
    <w:rsid w:val="00702BA4"/>
    <w:rsid w:val="00A74026"/>
    <w:rsid w:val="00CA5B20"/>
    <w:rsid w:val="00D12E88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8</cp:revision>
  <cp:lastPrinted>2020-01-31T01:20:00Z</cp:lastPrinted>
  <dcterms:created xsi:type="dcterms:W3CDTF">2019-08-07T18:37:00Z</dcterms:created>
  <dcterms:modified xsi:type="dcterms:W3CDTF">2020-02-06T07:32:00Z</dcterms:modified>
</cp:coreProperties>
</file>