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B2FD9">
        <w:rPr>
          <w:sz w:val="28"/>
          <w:szCs w:val="28"/>
          <w:u w:val="single"/>
        </w:rPr>
        <w:t>01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7B2FD9">
        <w:rPr>
          <w:sz w:val="24"/>
          <w:szCs w:val="24"/>
        </w:rPr>
        <w:t>T405CV</w:t>
      </w:r>
      <w:r w:rsidR="0004572A">
        <w:rPr>
          <w:sz w:val="24"/>
          <w:szCs w:val="24"/>
        </w:rPr>
        <w:t xml:space="preserve"> imp.</w:t>
      </w:r>
      <w:r w:rsidR="007B2FD9">
        <w:rPr>
          <w:sz w:val="24"/>
          <w:szCs w:val="24"/>
        </w:rPr>
        <w:t>1</w:t>
      </w:r>
      <w:r w:rsidR="0004572A">
        <w:rPr>
          <w:sz w:val="24"/>
          <w:szCs w:val="24"/>
        </w:rPr>
        <w:t>200</w:t>
      </w:r>
      <w:r w:rsidR="007B2FD9">
        <w:rPr>
          <w:sz w:val="24"/>
          <w:szCs w:val="24"/>
        </w:rPr>
        <w:t>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B2FD9" w:rsidRDefault="007B2FD9" w:rsidP="006556D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 siamo intervenuti per il ripristino della valvola in oggetto in quanto la stessa non si riusciva a portare in apertura. Abbiamo fornito supporto mediante manichetta d’aria per flusso al contrario e nel frattempo sono stati ripristinati i tubicini di flussaggio azoto alle boccole. Si è ottenuto il risultato desiderato e la valvola è stata portata</w:t>
      </w:r>
      <w:r w:rsidR="00CC471A">
        <w:t xml:space="preserve"> in apertura e riconsegnata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  <w:bookmarkStart w:id="0" w:name="_GoBack"/>
      <w:bookmarkEnd w:id="0"/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C471A">
        <w:rPr>
          <w:sz w:val="24"/>
          <w:szCs w:val="24"/>
        </w:rPr>
        <w:t>01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CC471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2022-01-18T07:53:00Z</cp:lastPrinted>
  <dcterms:created xsi:type="dcterms:W3CDTF">2019-08-07T18:37:00Z</dcterms:created>
  <dcterms:modified xsi:type="dcterms:W3CDTF">2022-07-07T07:42:00Z</dcterms:modified>
</cp:coreProperties>
</file>