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7CDB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137F1">
        <w:rPr>
          <w:sz w:val="24"/>
          <w:szCs w:val="24"/>
        </w:rPr>
        <w:t xml:space="preserve">Assistenza </w:t>
      </w:r>
      <w:r w:rsidR="00767CDB">
        <w:rPr>
          <w:sz w:val="24"/>
          <w:szCs w:val="24"/>
        </w:rPr>
        <w:t>strumentale per avviamento caldaia1 imp.2000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137F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137F1">
        <w:t xml:space="preserve">abbiamo fornito assistenza </w:t>
      </w:r>
      <w:r w:rsidR="00767CDB">
        <w:t>per il ripristino dei bruciatori 4 e 5 della caldaia 1 all’imp.2000 in contemporanea con il fermo impianto turbogas.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7CDB">
        <w:rPr>
          <w:sz w:val="24"/>
          <w:szCs w:val="24"/>
        </w:rPr>
        <w:t>23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bookmarkStart w:id="0" w:name="_GoBack"/>
      <w:bookmarkEnd w:id="0"/>
      <w:r w:rsidR="00767CDB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67CDB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2022-01-18T07:53:00Z</cp:lastPrinted>
  <dcterms:created xsi:type="dcterms:W3CDTF">2019-08-07T18:37:00Z</dcterms:created>
  <dcterms:modified xsi:type="dcterms:W3CDTF">2022-01-23T14:05:00Z</dcterms:modified>
</cp:coreProperties>
</file>