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Pr="001E1B37" w:rsidRDefault="005222F2" w:rsidP="001E1B37">
      <w:pPr>
        <w:spacing w:before="120" w:after="120" w:line="336" w:lineRule="auto"/>
        <w:jc w:val="center"/>
        <w:rPr>
          <w:rFonts w:ascii="Lora" w:eastAsia="Lora" w:hAnsi="Lora" w:cs="Lora"/>
          <w:color w:val="000000"/>
          <w:sz w:val="44"/>
          <w:szCs w:val="44"/>
        </w:rPr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1E1B37">
        <w:rPr>
          <w:rFonts w:ascii="Lora" w:eastAsia="Lora" w:hAnsi="Lora" w:cs="Lora"/>
          <w:color w:val="000000"/>
          <w:sz w:val="44"/>
          <w:szCs w:val="44"/>
        </w:rPr>
        <w:t>01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1E1B37">
        <w:rPr>
          <w:rFonts w:ascii="Lora" w:eastAsia="Lora" w:hAnsi="Lora" w:cs="Lora"/>
          <w:color w:val="000000"/>
          <w:sz w:val="44"/>
          <w:szCs w:val="44"/>
        </w:rPr>
        <w:t>2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A414EB" w:rsidP="00DE71FB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1E1B37" w:rsidRPr="001E1B37">
        <w:rPr>
          <w:rFonts w:ascii="Lora" w:eastAsia="Lora" w:hAnsi="Lora" w:cs="Lora"/>
          <w:color w:val="000000"/>
          <w:sz w:val="34"/>
          <w:szCs w:val="28"/>
        </w:rPr>
        <w:t>2000 - Chiamata CTG per Assistenza avviam</w:t>
      </w:r>
      <w:r w:rsidR="001E1B37">
        <w:rPr>
          <w:rFonts w:ascii="Lora" w:eastAsia="Lora" w:hAnsi="Lora" w:cs="Lora"/>
          <w:color w:val="000000"/>
          <w:sz w:val="34"/>
          <w:szCs w:val="28"/>
        </w:rPr>
        <w:t>ento</w:t>
      </w:r>
      <w:r w:rsidR="001E1B37" w:rsidRPr="001E1B37">
        <w:rPr>
          <w:rFonts w:ascii="Lora" w:eastAsia="Lora" w:hAnsi="Lora" w:cs="Lora"/>
          <w:color w:val="000000"/>
          <w:sz w:val="34"/>
          <w:szCs w:val="28"/>
        </w:rPr>
        <w:t xml:space="preserve"> caldaia 2</w:t>
      </w:r>
    </w:p>
    <w:p w:rsidR="006655F5" w:rsidRDefault="006655F5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1E1B37" w:rsidRDefault="001E1B37" w:rsidP="00DE71FB">
      <w:pPr>
        <w:spacing w:before="120" w:after="120" w:line="336" w:lineRule="auto"/>
        <w:rPr>
          <w:rFonts w:ascii="Segoe UI" w:hAnsi="Segoe UI" w:cs="Segoe UI"/>
          <w:color w:val="121512"/>
          <w:shd w:val="clear" w:color="auto" w:fill="FFFFFF"/>
        </w:rPr>
      </w:pPr>
      <w:r w:rsidRPr="001E1B37">
        <w:rPr>
          <w:rFonts w:ascii="Lora" w:eastAsia="Lora" w:hAnsi="Lora" w:cs="Lora"/>
          <w:color w:val="000000"/>
          <w:sz w:val="32"/>
          <w:szCs w:val="28"/>
        </w:rPr>
        <w:t>Durante l'intervento di assistenza, il bruciatore n. 3 è stato avviato senza alcuna anomalia. Tuttavia, si è riscontrata una problematica con il bruciatore n. 4, evidenziando una mancanza di alimentazione alla fotocellula, nonostante l'inserimento dei fusibili da parte del C</w:t>
      </w:r>
      <w:r w:rsidRPr="001E1B37">
        <w:rPr>
          <w:rFonts w:ascii="Lora" w:eastAsia="Lora" w:hAnsi="Lora" w:cs="Lora"/>
          <w:color w:val="000000"/>
          <w:sz w:val="32"/>
          <w:szCs w:val="28"/>
        </w:rPr>
        <w:t>.T.</w:t>
      </w:r>
      <w:r>
        <w:rPr>
          <w:rFonts w:ascii="Segoe UI" w:hAnsi="Segoe UI" w:cs="Segoe UI"/>
          <w:color w:val="121512"/>
          <w:shd w:val="clear" w:color="auto" w:fill="FFFFFF"/>
        </w:rPr>
        <w:t xml:space="preserve"> </w:t>
      </w:r>
    </w:p>
    <w:p w:rsidR="001E1B37" w:rsidRDefault="001E1B37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 w:rsidRPr="001E1B37">
        <w:rPr>
          <w:rFonts w:ascii="Lora" w:eastAsia="Lora" w:hAnsi="Lora" w:cs="Lora"/>
          <w:color w:val="000000"/>
          <w:sz w:val="32"/>
          <w:szCs w:val="28"/>
        </w:rPr>
        <w:t>Inoltre, è stato riscontrato che il bruciatore a olio n. 6 è bloccato meccanicamente nella posizione 'IN', all'interno della camera di combustione,</w:t>
      </w:r>
      <w:bookmarkStart w:id="0" w:name="_GoBack"/>
      <w:bookmarkEnd w:id="0"/>
    </w:p>
    <w:p w:rsidR="001E1B37" w:rsidRDefault="001E1B37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1E1B37" w:rsidRDefault="001E1B37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Pr="007D11ED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6655F5">
        <w:rPr>
          <w:rFonts w:ascii="Lora" w:eastAsia="Lora" w:hAnsi="Lora" w:cs="Lora"/>
          <w:color w:val="000000"/>
          <w:sz w:val="26"/>
          <w:szCs w:val="26"/>
        </w:rPr>
        <w:t>02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6655F5">
        <w:rPr>
          <w:rFonts w:ascii="Lora" w:eastAsia="Lora" w:hAnsi="Lora" w:cs="Lora"/>
          <w:color w:val="000000"/>
          <w:sz w:val="26"/>
          <w:szCs w:val="26"/>
        </w:rPr>
        <w:t>2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DE71FB">
        <w:rPr>
          <w:rFonts w:ascii="Lora" w:eastAsia="Lora" w:hAnsi="Lora" w:cs="Lora"/>
          <w:color w:val="000000"/>
          <w:sz w:val="26"/>
          <w:szCs w:val="26"/>
        </w:rPr>
        <w:t>Guarino R.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6655F5">
        <w:rPr>
          <w:rFonts w:ascii="Lora" w:eastAsia="Lora" w:hAnsi="Lora" w:cs="Lora"/>
          <w:color w:val="000000"/>
          <w:sz w:val="26"/>
          <w:szCs w:val="26"/>
        </w:rPr>
        <w:t>Riciputo A.</w:t>
      </w:r>
    </w:p>
    <w:p w:rsidR="00E96BD0" w:rsidRPr="004E038A" w:rsidRDefault="00E96BD0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ra">
    <w:altName w:val="Calibri"/>
    <w:charset w:val="00"/>
    <w:family w:val="auto"/>
    <w:pitch w:val="default"/>
    <w:embedRegular r:id="rId1" w:fontKey="{AF42E078-4027-42E1-8D5C-F2B837BDE5F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B6FDD6B-1D82-4E9F-89F7-671F8F105F2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4E332808-70DE-449A-A340-F8F218702A6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0F36B096-7B7A-470F-8C8F-18266A89407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95"/>
    <w:multiLevelType w:val="hybridMultilevel"/>
    <w:tmpl w:val="93C2FCE0"/>
    <w:lvl w:ilvl="0" w:tplc="6030690E">
      <w:start w:val="200"/>
      <w:numFmt w:val="bullet"/>
      <w:lvlText w:val="-"/>
      <w:lvlJc w:val="left"/>
      <w:pPr>
        <w:ind w:left="720" w:hanging="360"/>
      </w:pPr>
      <w:rPr>
        <w:rFonts w:ascii="Lora" w:eastAsia="Lora" w:hAnsi="Lora" w:cs="Lor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01BE6"/>
    <w:rsid w:val="00045D15"/>
    <w:rsid w:val="000C212F"/>
    <w:rsid w:val="0010596C"/>
    <w:rsid w:val="00160CD7"/>
    <w:rsid w:val="00185550"/>
    <w:rsid w:val="001A517E"/>
    <w:rsid w:val="001A5E35"/>
    <w:rsid w:val="001E10F5"/>
    <w:rsid w:val="001E1B37"/>
    <w:rsid w:val="002911B1"/>
    <w:rsid w:val="002D0270"/>
    <w:rsid w:val="002E7E5F"/>
    <w:rsid w:val="00322078"/>
    <w:rsid w:val="00397646"/>
    <w:rsid w:val="003D4430"/>
    <w:rsid w:val="0044669D"/>
    <w:rsid w:val="004A55B1"/>
    <w:rsid w:val="004E038A"/>
    <w:rsid w:val="00517212"/>
    <w:rsid w:val="005222F2"/>
    <w:rsid w:val="0053274B"/>
    <w:rsid w:val="00590B10"/>
    <w:rsid w:val="005D02E0"/>
    <w:rsid w:val="00614B05"/>
    <w:rsid w:val="006342E3"/>
    <w:rsid w:val="00650AF5"/>
    <w:rsid w:val="0065736A"/>
    <w:rsid w:val="00664D86"/>
    <w:rsid w:val="006655F5"/>
    <w:rsid w:val="00695F4C"/>
    <w:rsid w:val="006B29A3"/>
    <w:rsid w:val="006F1601"/>
    <w:rsid w:val="0074589F"/>
    <w:rsid w:val="007A65C7"/>
    <w:rsid w:val="007C6D42"/>
    <w:rsid w:val="007D11ED"/>
    <w:rsid w:val="007D5A94"/>
    <w:rsid w:val="00856614"/>
    <w:rsid w:val="00881F5C"/>
    <w:rsid w:val="008A6311"/>
    <w:rsid w:val="008A79C0"/>
    <w:rsid w:val="008B3858"/>
    <w:rsid w:val="00930903"/>
    <w:rsid w:val="00940F22"/>
    <w:rsid w:val="009D068A"/>
    <w:rsid w:val="00A2299A"/>
    <w:rsid w:val="00A414EB"/>
    <w:rsid w:val="00AF3471"/>
    <w:rsid w:val="00B032E8"/>
    <w:rsid w:val="00B0623D"/>
    <w:rsid w:val="00B66336"/>
    <w:rsid w:val="00BB2144"/>
    <w:rsid w:val="00BD3E8E"/>
    <w:rsid w:val="00BE5B8C"/>
    <w:rsid w:val="00BF5626"/>
    <w:rsid w:val="00C12149"/>
    <w:rsid w:val="00C43CA7"/>
    <w:rsid w:val="00C87D57"/>
    <w:rsid w:val="00C9029A"/>
    <w:rsid w:val="00C96B6C"/>
    <w:rsid w:val="00DE71FB"/>
    <w:rsid w:val="00E70F7A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C3375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1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50</cp:revision>
  <cp:lastPrinted>2024-11-28T07:04:00Z</cp:lastPrinted>
  <dcterms:created xsi:type="dcterms:W3CDTF">2024-07-25T05:39:00Z</dcterms:created>
  <dcterms:modified xsi:type="dcterms:W3CDTF">2024-12-02T07:16:00Z</dcterms:modified>
</cp:coreProperties>
</file>