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5C76DE">
        <w:rPr>
          <w:rFonts w:ascii="Lora" w:eastAsia="Lora" w:hAnsi="Lora" w:cs="Lora"/>
          <w:color w:val="000000"/>
          <w:sz w:val="44"/>
          <w:szCs w:val="44"/>
        </w:rPr>
        <w:t>21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proofErr w:type="gramStart"/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E67541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CE267D">
        <w:rPr>
          <w:rFonts w:ascii="Lora" w:eastAsia="Lora" w:hAnsi="Lora" w:cs="Lora"/>
          <w:color w:val="000000"/>
          <w:sz w:val="34"/>
          <w:szCs w:val="28"/>
        </w:rPr>
        <w:t>800</w:t>
      </w:r>
      <w:proofErr w:type="gramEnd"/>
      <w:r w:rsidR="00CE267D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105637" w:rsidRPr="00105637">
        <w:rPr>
          <w:rFonts w:ascii="Lora" w:eastAsia="Lora" w:hAnsi="Lora" w:cs="Lora"/>
          <w:color w:val="000000"/>
          <w:sz w:val="34"/>
          <w:szCs w:val="28"/>
        </w:rPr>
        <w:t xml:space="preserve">- Chiamata CTG </w:t>
      </w:r>
      <w:r w:rsidR="00CE267D">
        <w:rPr>
          <w:rFonts w:ascii="Lora" w:eastAsia="Lora" w:hAnsi="Lora" w:cs="Lora"/>
          <w:color w:val="000000"/>
          <w:sz w:val="34"/>
          <w:szCs w:val="28"/>
        </w:rPr>
        <w:t>per PCV121, TCV115A e PCV102</w:t>
      </w:r>
    </w:p>
    <w:p w:rsidR="00CE267D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CE267D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 xml:space="preserve">TCV115A – eseguita sostituzione elettrovalvola con annesso </w:t>
      </w:r>
      <w:bookmarkStart w:id="0" w:name="_GoBack"/>
      <w:r>
        <w:rPr>
          <w:rFonts w:ascii="Lora" w:eastAsia="Lora" w:hAnsi="Lora" w:cs="Lora"/>
          <w:color w:val="000000"/>
          <w:sz w:val="32"/>
          <w:szCs w:val="28"/>
        </w:rPr>
        <w:t xml:space="preserve">fusibile in retro quadro e filtro-riduttore. La Valvola </w:t>
      </w:r>
    </w:p>
    <w:bookmarkEnd w:id="0"/>
    <w:p w:rsidR="00CE267D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E67541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 xml:space="preserve">PCV121 – Abbiamo trovato </w:t>
      </w:r>
      <w:r w:rsidR="007654E2">
        <w:rPr>
          <w:rFonts w:ascii="Lora" w:eastAsia="Lora" w:hAnsi="Lora" w:cs="Lora"/>
          <w:color w:val="000000"/>
          <w:sz w:val="32"/>
          <w:szCs w:val="28"/>
        </w:rPr>
        <w:t>ip-converter</w:t>
      </w:r>
      <w:r>
        <w:rPr>
          <w:rFonts w:ascii="Lora" w:eastAsia="Lora" w:hAnsi="Lora" w:cs="Lora"/>
          <w:color w:val="000000"/>
          <w:sz w:val="32"/>
          <w:szCs w:val="28"/>
        </w:rPr>
        <w:t xml:space="preserve"> guasto poiché pieno d’acqua. Eseguita sostituzione con successivo allineamento con sala controllo.</w:t>
      </w:r>
    </w:p>
    <w:p w:rsidR="00CE267D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CE267D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PCV102 – Eseguito controllo loop non evidenziando alcuna anomalia.</w:t>
      </w: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E67541">
        <w:rPr>
          <w:rFonts w:ascii="Lora" w:eastAsia="Lora" w:hAnsi="Lora" w:cs="Lora"/>
          <w:color w:val="000000"/>
          <w:sz w:val="26"/>
          <w:szCs w:val="26"/>
        </w:rPr>
        <w:t>2</w:t>
      </w:r>
      <w:r w:rsidR="005C76DE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E67541">
        <w:rPr>
          <w:rFonts w:ascii="Lora" w:eastAsia="Lora" w:hAnsi="Lora" w:cs="Lora"/>
          <w:color w:val="000000"/>
          <w:sz w:val="26"/>
          <w:szCs w:val="26"/>
        </w:rPr>
        <w:t>Tarascio B.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E67541">
        <w:rPr>
          <w:rFonts w:ascii="Lora" w:eastAsia="Lora" w:hAnsi="Lora" w:cs="Lora"/>
          <w:color w:val="000000"/>
          <w:sz w:val="26"/>
          <w:szCs w:val="26"/>
        </w:rPr>
        <w:t>Partesano V.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6572A532-9240-4593-A9F0-9378D835D8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929201-507D-44E6-A2D8-F8ABE13B336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FD4680B-96E8-4284-9798-5DF3964949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F235A79-F66E-4B75-8FC7-30544524B3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C76DE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654E2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70A3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CE267D"/>
    <w:rsid w:val="00DE71FB"/>
    <w:rsid w:val="00E67541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1C9A7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58</cp:revision>
  <cp:lastPrinted>2024-12-23T08:30:00Z</cp:lastPrinted>
  <dcterms:created xsi:type="dcterms:W3CDTF">2024-07-25T05:39:00Z</dcterms:created>
  <dcterms:modified xsi:type="dcterms:W3CDTF">2024-12-23T08:31:00Z</dcterms:modified>
</cp:coreProperties>
</file>